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1E55BF">
      <w:pPr>
        <w:outlineLvl w:val="0"/>
        <w:rPr>
          <w:bCs/>
        </w:rPr>
      </w:pPr>
      <w:bookmarkStart w:id="0" w:name="_GoBack"/>
      <w:bookmarkEnd w:id="0"/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A37236" w:rsidRDefault="00F57D6D">
      <w:pPr>
        <w:rPr>
          <w:sz w:val="22"/>
          <w:szCs w:val="22"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80190B" w:rsidRDefault="0080190B" w:rsidP="00A84413">
      <w:pPr>
        <w:jc w:val="center"/>
        <w:rPr>
          <w:b/>
          <w:bCs/>
          <w:sz w:val="22"/>
          <w:szCs w:val="22"/>
        </w:rPr>
      </w:pPr>
    </w:p>
    <w:p w:rsidR="00A84413" w:rsidRPr="00A37236" w:rsidRDefault="00F57D6D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F57D6D" w:rsidRPr="00A37236" w:rsidRDefault="00FC513F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</w:t>
      </w:r>
      <w:r w:rsidR="00B11102" w:rsidRPr="00A37236">
        <w:rPr>
          <w:b/>
          <w:bCs/>
          <w:sz w:val="22"/>
          <w:szCs w:val="22"/>
        </w:rPr>
        <w:t xml:space="preserve"> </w:t>
      </w:r>
      <w:r w:rsidR="00E050FA" w:rsidRPr="00A37236">
        <w:rPr>
          <w:b/>
          <w:bCs/>
          <w:sz w:val="22"/>
          <w:szCs w:val="22"/>
        </w:rPr>
        <w:t>присоединении к</w:t>
      </w:r>
      <w:r w:rsidR="00B11102" w:rsidRPr="00A37236">
        <w:rPr>
          <w:b/>
          <w:bCs/>
          <w:sz w:val="22"/>
          <w:szCs w:val="22"/>
        </w:rPr>
        <w:t xml:space="preserve"> Регламент</w:t>
      </w:r>
      <w:r w:rsidR="00E050FA" w:rsidRPr="00A37236">
        <w:rPr>
          <w:b/>
          <w:bCs/>
          <w:sz w:val="22"/>
          <w:szCs w:val="22"/>
        </w:rPr>
        <w:t>у</w:t>
      </w:r>
      <w:r w:rsidRPr="00A37236">
        <w:rPr>
          <w:b/>
          <w:bCs/>
          <w:sz w:val="22"/>
          <w:szCs w:val="22"/>
        </w:rPr>
        <w:t xml:space="preserve"> </w:t>
      </w:r>
      <w:r w:rsidR="00B11102" w:rsidRPr="00A37236">
        <w:rPr>
          <w:b/>
          <w:bCs/>
          <w:sz w:val="22"/>
          <w:szCs w:val="22"/>
        </w:rPr>
        <w:t>оказания</w:t>
      </w:r>
      <w:r w:rsidR="006F51AB" w:rsidRPr="00A37236">
        <w:rPr>
          <w:b/>
          <w:bCs/>
          <w:sz w:val="22"/>
          <w:szCs w:val="22"/>
        </w:rPr>
        <w:t xml:space="preserve"> брокерских</w:t>
      </w:r>
      <w:r w:rsidR="00B11102" w:rsidRPr="00A37236">
        <w:rPr>
          <w:b/>
          <w:bCs/>
          <w:sz w:val="22"/>
          <w:szCs w:val="22"/>
        </w:rPr>
        <w:t xml:space="preserve"> услуг на рынке ценных бумаг</w:t>
      </w:r>
    </w:p>
    <w:p w:rsidR="00F57D6D" w:rsidRPr="00A37236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A37236">
        <w:rPr>
          <w:b w:val="0"/>
          <w:sz w:val="22"/>
          <w:szCs w:val="22"/>
        </w:rPr>
        <w:t>(для физических лиц)</w:t>
      </w:r>
    </w:p>
    <w:p w:rsidR="006C0A35" w:rsidRPr="00A37236" w:rsidRDefault="006C0A35">
      <w:pPr>
        <w:rPr>
          <w:sz w:val="22"/>
          <w:szCs w:val="22"/>
        </w:rPr>
      </w:pPr>
    </w:p>
    <w:p w:rsidR="00F57D6D" w:rsidRPr="00A37236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>Сведения о заявителе:</w:t>
      </w:r>
    </w:p>
    <w:p w:rsidR="00A51AF2" w:rsidRPr="00A37236" w:rsidRDefault="00A51AF2" w:rsidP="00E81DE1">
      <w:pPr>
        <w:jc w:val="both"/>
        <w:outlineLvl w:val="0"/>
        <w:rPr>
          <w:sz w:val="22"/>
          <w:szCs w:val="22"/>
        </w:rPr>
      </w:pPr>
      <w:r w:rsidRPr="00A37236">
        <w:rPr>
          <w:sz w:val="22"/>
          <w:szCs w:val="22"/>
        </w:rPr>
        <w:t>Ф.И.О. ____________</w:t>
      </w:r>
      <w:r w:rsidR="00BB5993" w:rsidRPr="00A37236">
        <w:rPr>
          <w:sz w:val="22"/>
          <w:szCs w:val="22"/>
        </w:rPr>
        <w:t>_</w:t>
      </w:r>
      <w:r w:rsidRPr="00A37236">
        <w:rPr>
          <w:sz w:val="22"/>
          <w:szCs w:val="22"/>
        </w:rPr>
        <w:t>__________________________________________________________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</w:t>
      </w:r>
    </w:p>
    <w:p w:rsidR="00F57D6D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Дата рождения </w:t>
      </w:r>
      <w:r w:rsidR="00606C7C" w:rsidRPr="00A37236">
        <w:rPr>
          <w:sz w:val="22"/>
          <w:szCs w:val="22"/>
        </w:rPr>
        <w:t>_______________________</w:t>
      </w:r>
      <w:r w:rsidR="005E2B87" w:rsidRPr="00A37236">
        <w:rPr>
          <w:sz w:val="22"/>
          <w:szCs w:val="22"/>
        </w:rPr>
        <w:t xml:space="preserve"> г.</w:t>
      </w:r>
    </w:p>
    <w:p w:rsidR="00FC513F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Документ, удостоверяющий личность: </w:t>
      </w:r>
      <w:r w:rsidR="00A51AF2" w:rsidRPr="00A37236">
        <w:rPr>
          <w:sz w:val="22"/>
          <w:szCs w:val="22"/>
        </w:rPr>
        <w:t>____________серия ___________</w:t>
      </w:r>
      <w:r w:rsidR="008D2E6A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>номер</w:t>
      </w:r>
      <w:r w:rsidR="00606C7C" w:rsidRPr="00A37236">
        <w:rPr>
          <w:sz w:val="22"/>
          <w:szCs w:val="22"/>
        </w:rPr>
        <w:t>___________</w:t>
      </w:r>
      <w:r w:rsidR="008D120B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 xml:space="preserve">кем и когда выдан </w:t>
      </w:r>
      <w:r w:rsidR="00CE2DAB" w:rsidRPr="00A37236">
        <w:rPr>
          <w:sz w:val="22"/>
          <w:szCs w:val="22"/>
        </w:rPr>
        <w:t>____</w:t>
      </w:r>
      <w:r w:rsidR="00606C7C" w:rsidRPr="00A37236">
        <w:rPr>
          <w:sz w:val="22"/>
          <w:szCs w:val="22"/>
        </w:rPr>
        <w:t>_____</w:t>
      </w:r>
      <w:r w:rsidR="00A51AF2" w:rsidRPr="00A37236">
        <w:rPr>
          <w:sz w:val="22"/>
          <w:szCs w:val="22"/>
        </w:rPr>
        <w:t>__________________</w:t>
      </w:r>
      <w:r w:rsidR="00BB5993" w:rsidRPr="00A37236">
        <w:rPr>
          <w:sz w:val="22"/>
          <w:szCs w:val="22"/>
        </w:rPr>
        <w:t>_</w:t>
      </w:r>
      <w:r w:rsidR="00A51AF2" w:rsidRPr="00A37236">
        <w:rPr>
          <w:sz w:val="22"/>
          <w:szCs w:val="22"/>
        </w:rPr>
        <w:t>_________________________________</w:t>
      </w:r>
      <w:r w:rsidR="00606C7C" w:rsidRPr="00A37236">
        <w:rPr>
          <w:sz w:val="22"/>
          <w:szCs w:val="22"/>
        </w:rPr>
        <w:t>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______</w:t>
      </w:r>
    </w:p>
    <w:p w:rsidR="00F57D6D" w:rsidRPr="00A37236" w:rsidRDefault="0020351A" w:rsidP="005E2B87">
      <w:pPr>
        <w:tabs>
          <w:tab w:val="left" w:pos="6562"/>
        </w:tabs>
        <w:jc w:val="both"/>
        <w:rPr>
          <w:bCs/>
          <w:iCs/>
          <w:sz w:val="22"/>
          <w:szCs w:val="22"/>
        </w:rPr>
      </w:pPr>
      <w:r w:rsidRPr="00A37236">
        <w:rPr>
          <w:sz w:val="22"/>
          <w:szCs w:val="22"/>
        </w:rPr>
        <w:t>Адрес р</w:t>
      </w:r>
      <w:r w:rsidR="0073105D" w:rsidRPr="00A37236">
        <w:rPr>
          <w:sz w:val="22"/>
          <w:szCs w:val="22"/>
        </w:rPr>
        <w:t>еги</w:t>
      </w:r>
      <w:r w:rsidR="00F57D6D" w:rsidRPr="00A37236">
        <w:rPr>
          <w:sz w:val="22"/>
          <w:szCs w:val="22"/>
        </w:rPr>
        <w:t>страци</w:t>
      </w:r>
      <w:r w:rsidRPr="00A37236">
        <w:rPr>
          <w:sz w:val="22"/>
          <w:szCs w:val="22"/>
        </w:rPr>
        <w:t>и</w:t>
      </w:r>
      <w:r w:rsidR="00F57D6D" w:rsidRPr="00A37236">
        <w:rPr>
          <w:sz w:val="22"/>
          <w:szCs w:val="22"/>
        </w:rPr>
        <w:t>:</w:t>
      </w:r>
      <w:r w:rsidR="00F57D6D" w:rsidRPr="00A37236">
        <w:rPr>
          <w:b/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___</w:t>
      </w:r>
      <w:r w:rsidR="00606C7C" w:rsidRPr="00A37236">
        <w:rPr>
          <w:bCs/>
          <w:iCs/>
          <w:sz w:val="22"/>
          <w:szCs w:val="22"/>
        </w:rPr>
        <w:t>____________________________</w:t>
      </w:r>
      <w:r w:rsidR="00CE2DAB" w:rsidRPr="00A37236">
        <w:rPr>
          <w:bCs/>
          <w:iCs/>
          <w:sz w:val="22"/>
          <w:szCs w:val="22"/>
        </w:rPr>
        <w:t>_______</w:t>
      </w:r>
      <w:r w:rsidR="00606C7C" w:rsidRPr="00A37236">
        <w:rPr>
          <w:bCs/>
          <w:iCs/>
          <w:sz w:val="22"/>
          <w:szCs w:val="22"/>
        </w:rPr>
        <w:t>________________</w:t>
      </w:r>
      <w:r w:rsidR="00BB5993" w:rsidRPr="00A37236">
        <w:rPr>
          <w:bCs/>
          <w:iCs/>
          <w:sz w:val="22"/>
          <w:szCs w:val="22"/>
        </w:rPr>
        <w:t>________</w:t>
      </w:r>
      <w:r w:rsidR="00694CC9" w:rsidRPr="00A37236">
        <w:rPr>
          <w:bCs/>
          <w:iCs/>
          <w:sz w:val="22"/>
          <w:szCs w:val="22"/>
        </w:rPr>
        <w:t>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F57D6D" w:rsidRPr="00A37236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 xml:space="preserve"> </w:t>
      </w:r>
      <w:r w:rsidR="00594F70" w:rsidRPr="00A37236">
        <w:rPr>
          <w:b/>
          <w:sz w:val="22"/>
          <w:szCs w:val="22"/>
        </w:rPr>
        <w:t>Информация для открытия</w:t>
      </w:r>
      <w:r w:rsidR="00A51AF2" w:rsidRPr="00A37236">
        <w:rPr>
          <w:b/>
          <w:sz w:val="22"/>
          <w:szCs w:val="22"/>
        </w:rPr>
        <w:t xml:space="preserve"> </w:t>
      </w:r>
      <w:r w:rsidRPr="00A37236">
        <w:rPr>
          <w:b/>
          <w:sz w:val="22"/>
          <w:szCs w:val="22"/>
        </w:rPr>
        <w:t>счета (условия акцепта регламента)</w:t>
      </w:r>
    </w:p>
    <w:p w:rsidR="000A7AC9" w:rsidRPr="00A37236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2.1. 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Тип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счёта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594F70" w:rsidRPr="00A37236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брокерский счёт физического лица</w:t>
      </w:r>
      <w:r w:rsid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3D5D2A" w:rsidRPr="00A37236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и вести индивидуальный инвестиционный счет (далее – «ИИС»).</w:t>
      </w:r>
    </w:p>
    <w:p w:rsidR="00BB5993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="0027623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прошу открыть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мне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вести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рамках перехода от другого профессионального участника рынка ценных бумаг</w:t>
      </w:r>
      <w:r w:rsidR="00853A0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</w:t>
      </w:r>
      <w:r w:rsidR="00853A02" w:rsidRPr="00853A0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использовать ИИС в качестве ИИС, открытого после 1 января 2024 года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. 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Обязуюсь расторгнуть действующий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договор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на ведение ИИС с указанным профессиональным участником рынка ценных бумаг в срок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не позднее 30 (Тридцати) календарных дней с даты заключения</w:t>
      </w:r>
      <w:r w:rsidR="004A1B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 с ООО «ИК «ФИНПРОИНВЕСТ»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554EE1" w:rsidRDefault="00554EE1" w:rsidP="00554EE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з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аявляю, что 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количество заключённых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мною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договоров на ведение ИИС не превышает двух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Pr="00554EE1">
        <w:rPr>
          <w:rFonts w:ascii="Times New Roman" w:hAnsi="Times New Roman" w:cs="Times New Roman"/>
          <w:i w:val="0"/>
          <w:iCs w:val="0"/>
          <w:sz w:val="22"/>
          <w:szCs w:val="22"/>
        </w:rPr>
        <w:t>(</w:t>
      </w:r>
      <w:r w:rsidRPr="00554EE1">
        <w:rPr>
          <w:rFonts w:ascii="Times New Roman" w:hAnsi="Times New Roman" w:cs="Times New Roman"/>
          <w:sz w:val="24"/>
          <w:szCs w:val="24"/>
        </w:rPr>
        <w:t xml:space="preserve">не заполняется в </w:t>
      </w:r>
      <w:r w:rsidRPr="000B49F3">
        <w:rPr>
          <w:rFonts w:ascii="Times New Roman" w:hAnsi="Times New Roman" w:cs="Times New Roman"/>
          <w:sz w:val="24"/>
          <w:szCs w:val="24"/>
        </w:rPr>
        <w:t>случае заключения договора</w:t>
      </w:r>
      <w:r w:rsidRPr="000A7468">
        <w:rPr>
          <w:rFonts w:ascii="Times New Roman" w:hAnsi="Times New Roman" w:cs="Times New Roman"/>
          <w:sz w:val="24"/>
          <w:szCs w:val="24"/>
        </w:rPr>
        <w:t xml:space="preserve"> на ведение ИИС </w:t>
      </w:r>
      <w:r w:rsidRPr="002F25D1">
        <w:rPr>
          <w:rFonts w:ascii="Times New Roman" w:hAnsi="Times New Roman" w:cs="Times New Roman"/>
          <w:sz w:val="24"/>
          <w:szCs w:val="24"/>
        </w:rPr>
        <w:t xml:space="preserve">для передачи на него </w:t>
      </w:r>
      <w:r w:rsidRPr="00AE4A38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EA2A07">
        <w:rPr>
          <w:rFonts w:ascii="Times New Roman" w:hAnsi="Times New Roman" w:cs="Times New Roman"/>
          <w:sz w:val="24"/>
          <w:szCs w:val="24"/>
        </w:rPr>
        <w:t>, драгоценных металлов и ценных бумаг при прекращении ин</w:t>
      </w:r>
      <w:r w:rsidRPr="00DE2B9E">
        <w:rPr>
          <w:rFonts w:ascii="Times New Roman" w:hAnsi="Times New Roman" w:cs="Times New Roman"/>
          <w:sz w:val="24"/>
          <w:szCs w:val="24"/>
        </w:rPr>
        <w:t>ого договора на ведение ИИС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554EE1" w:rsidRDefault="00554EE1" w:rsidP="00554EE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з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аявляю, что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не имею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ИИС, заключённого в период с 01.01.2015 по 31.12.2023 включительно </w:t>
      </w:r>
      <w:r>
        <w:rPr>
          <w:rFonts w:ascii="Times New Roman" w:hAnsi="Times New Roman" w:cs="Times New Roman"/>
          <w:sz w:val="24"/>
          <w:szCs w:val="24"/>
        </w:rPr>
        <w:t>(не требуется в случае</w:t>
      </w:r>
      <w:r w:rsidRPr="00DE2B9E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DE2B9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2B9E">
        <w:rPr>
          <w:rFonts w:ascii="Times New Roman" w:hAnsi="Times New Roman" w:cs="Times New Roman"/>
          <w:sz w:val="24"/>
          <w:szCs w:val="24"/>
        </w:rPr>
        <w:t xml:space="preserve"> на ведение ИИС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25D1">
        <w:rPr>
          <w:rFonts w:ascii="Times New Roman" w:hAnsi="Times New Roman" w:cs="Times New Roman"/>
          <w:sz w:val="24"/>
          <w:szCs w:val="24"/>
        </w:rPr>
        <w:t xml:space="preserve">ля передачи на него </w:t>
      </w:r>
      <w:r w:rsidRPr="00AE4A38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0057C9">
        <w:rPr>
          <w:rFonts w:ascii="Times New Roman" w:hAnsi="Times New Roman" w:cs="Times New Roman"/>
          <w:sz w:val="24"/>
          <w:szCs w:val="24"/>
        </w:rPr>
        <w:t xml:space="preserve">, драгоценных металлов и ценных бумаг </w:t>
      </w:r>
      <w:r>
        <w:rPr>
          <w:rFonts w:ascii="Times New Roman" w:hAnsi="Times New Roman" w:cs="Times New Roman"/>
          <w:sz w:val="24"/>
          <w:szCs w:val="24"/>
        </w:rPr>
        <w:t>от стороннего профессионального участника рынка ценных бумаг, а также в случае, если</w:t>
      </w:r>
      <w:r w:rsidRPr="009D086F">
        <w:rPr>
          <w:rFonts w:ascii="Times New Roman" w:hAnsi="Times New Roman" w:cs="Times New Roman"/>
          <w:sz w:val="24"/>
          <w:szCs w:val="24"/>
        </w:rPr>
        <w:t xml:space="preserve"> Клиент заявил об использовании ИИС в качестве ИИС, открытого после 1 января 2024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4EE1" w:rsidRPr="00A37236" w:rsidRDefault="00554EE1" w:rsidP="00554EE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6C0A35" w:rsidRPr="00A37236" w:rsidRDefault="006C0A35" w:rsidP="009C011B">
      <w:pPr>
        <w:rPr>
          <w:sz w:val="22"/>
          <w:szCs w:val="22"/>
        </w:rPr>
      </w:pPr>
    </w:p>
    <w:p w:rsidR="000A7AC9" w:rsidRPr="00A37236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2.2. Р</w:t>
      </w:r>
      <w:r w:rsidR="009F670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9C2FAB" w:rsidRPr="00A37236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(фондовый рынок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)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,</w:t>
      </w:r>
    </w:p>
    <w:p w:rsidR="000A7AC9" w:rsidRPr="00A37236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</w:t>
      </w:r>
      <w:r w:rsidR="004E5411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(в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алютный рынок)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F8590F" w:rsidRPr="00A37236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внебиржевой рынок</w:t>
      </w:r>
      <w:r w:rsidR="009652A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D389C" w:rsidRPr="00A37236" w:rsidRDefault="00BD389C" w:rsidP="009C011B">
      <w:pPr>
        <w:rPr>
          <w:sz w:val="22"/>
          <w:szCs w:val="22"/>
        </w:rPr>
      </w:pPr>
    </w:p>
    <w:p w:rsidR="00BD389C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2.3. Тарифный план для оплаты </w:t>
      </w:r>
      <w:r w:rsidR="0077543E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расходов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вознаграждения ООО «ИК «ФИНПРОИНВЕСТ» по сделкам </w:t>
      </w:r>
      <w:r w:rsidR="008C61C8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 операциям в торговой системе:</w:t>
      </w:r>
    </w:p>
    <w:p w:rsidR="002B3A2F" w:rsidRPr="00A37236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______________________________________________</w:t>
      </w:r>
      <w:r w:rsidR="002B3A2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694C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</w:t>
      </w:r>
      <w:r w:rsidR="00721F7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2B3A2F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2.4. </w:t>
      </w:r>
      <w:r w:rsidR="006408AB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Дистанционные с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пособы обмена сообщениями</w:t>
      </w:r>
      <w:r w:rsidR="006408AB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2B3A2F" w:rsidRPr="00A37236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телефонной 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связи;</w:t>
      </w:r>
    </w:p>
    <w:p w:rsidR="0075138D" w:rsidRPr="00A37236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электронной почте;</w:t>
      </w:r>
    </w:p>
    <w:p w:rsidR="00005E0C" w:rsidRPr="00A37236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005E0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через личный кабинет клиента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2B3A2F" w:rsidRPr="00A37236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системе интернет-трейдинга</w:t>
      </w:r>
      <w:r w:rsidR="00F656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с использованием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системы «QUIK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».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107738" w:rsidRPr="00A37236" w:rsidRDefault="00107738" w:rsidP="002A18AD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2.5. Уведомление об использовании:</w:t>
      </w:r>
    </w:p>
    <w:p w:rsidR="00FF3DF2" w:rsidRDefault="0010773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</w:t>
      </w:r>
      <w:r w:rsidR="0030194C" w:rsidRPr="00A37236">
        <w:rPr>
          <w:bCs/>
          <w:iCs/>
          <w:sz w:val="22"/>
          <w:szCs w:val="22"/>
        </w:rPr>
        <w:t xml:space="preserve"> и/или ценных бумаг</w:t>
      </w:r>
      <w:r w:rsidR="00FF3DF2">
        <w:rPr>
          <w:bCs/>
          <w:iCs/>
          <w:sz w:val="22"/>
          <w:szCs w:val="22"/>
        </w:rPr>
        <w:t xml:space="preserve"> (далее- Имущество)</w:t>
      </w:r>
      <w:r w:rsidRPr="00A37236">
        <w:rPr>
          <w:bCs/>
          <w:iCs/>
          <w:sz w:val="22"/>
          <w:szCs w:val="22"/>
        </w:rPr>
        <w:t>, учитываемых по брокерскому счету Заявителя, в интересах ООО «ИК «ФИНПРОИНВЕСТ»</w:t>
      </w:r>
      <w:r w:rsidR="00CF72DF" w:rsidRPr="00A37236">
        <w:rPr>
          <w:bCs/>
          <w:iCs/>
          <w:sz w:val="22"/>
          <w:szCs w:val="22"/>
        </w:rPr>
        <w:t xml:space="preserve"> (</w:t>
      </w:r>
      <w:r w:rsidR="007173E7" w:rsidRPr="00A37236">
        <w:rPr>
          <w:bCs/>
          <w:iCs/>
          <w:sz w:val="22"/>
          <w:szCs w:val="22"/>
        </w:rPr>
        <w:t>далее - Брокер</w:t>
      </w:r>
      <w:r w:rsidR="00CF72DF" w:rsidRPr="00A37236">
        <w:rPr>
          <w:bCs/>
          <w:iCs/>
          <w:sz w:val="22"/>
          <w:szCs w:val="22"/>
        </w:rPr>
        <w:t>)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>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</w:t>
      </w:r>
      <w:r w:rsidR="00FF3DF2">
        <w:rPr>
          <w:bCs/>
          <w:iCs/>
          <w:sz w:val="22"/>
          <w:szCs w:val="22"/>
        </w:rPr>
        <w:t>ого</w:t>
      </w:r>
      <w:r w:rsidRPr="00A37236">
        <w:rPr>
          <w:bCs/>
          <w:iCs/>
          <w:sz w:val="22"/>
          <w:szCs w:val="22"/>
        </w:rPr>
        <w:t xml:space="preserve"> в распоряжение Клиринговой организации.</w:t>
      </w:r>
    </w:p>
    <w:p w:rsidR="00FF3DF2" w:rsidRDefault="0069304D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Заявитель уведомлён</w:t>
      </w:r>
      <w:r w:rsidR="00FF3DF2">
        <w:rPr>
          <w:bCs/>
          <w:iCs/>
          <w:sz w:val="22"/>
          <w:szCs w:val="22"/>
        </w:rPr>
        <w:t>:</w:t>
      </w:r>
    </w:p>
    <w:p w:rsidR="00FF3DF2" w:rsidRPr="005F30F5" w:rsidRDefault="00FF3DF2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Pr="005F30F5">
        <w:rPr>
          <w:bCs/>
          <w:iCs/>
          <w:sz w:val="22"/>
          <w:szCs w:val="22"/>
        </w:rPr>
        <w:t>о том, что Имущество Заявителя будет учитываться вместе с Имуществом других клиентов в вышестоящей кредитной финансовой организации, клиринговой организации, вышестоящем брокере;</w:t>
      </w:r>
    </w:p>
    <w:p w:rsidR="003F6958" w:rsidRPr="005F30F5" w:rsidRDefault="00FF3DF2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lastRenderedPageBreak/>
        <w:t xml:space="preserve">- о праве потребовать от Брокера открытия отдельного банковского счета в кредитной организации для учета соответственно Имущества Заявителя отдельно от Имущества других клиентов и организации ведения клиринговой организацией отдельного учета </w:t>
      </w:r>
      <w:r w:rsidR="00EE6BB0">
        <w:rPr>
          <w:bCs/>
          <w:iCs/>
          <w:sz w:val="22"/>
          <w:szCs w:val="22"/>
        </w:rPr>
        <w:t>И</w:t>
      </w:r>
      <w:r w:rsidRPr="005F30F5">
        <w:rPr>
          <w:bCs/>
          <w:iCs/>
          <w:sz w:val="22"/>
          <w:szCs w:val="22"/>
        </w:rPr>
        <w:t xml:space="preserve">мущества, предоставленного Заявителем в качестве обеспечения, и обязательств Брокера, возникших из сделок, заключенных за счет Заявителя, но </w:t>
      </w:r>
      <w:r w:rsidR="003F6958" w:rsidRPr="005F30F5">
        <w:rPr>
          <w:bCs/>
          <w:iCs/>
          <w:sz w:val="22"/>
          <w:szCs w:val="22"/>
        </w:rPr>
        <w:t>Заявитель отказывается</w:t>
      </w:r>
      <w:r w:rsidRPr="005F30F5">
        <w:rPr>
          <w:bCs/>
          <w:iCs/>
          <w:sz w:val="22"/>
          <w:szCs w:val="22"/>
        </w:rPr>
        <w:t xml:space="preserve"> от реализации указанного права</w:t>
      </w:r>
      <w:r w:rsidR="003F6958" w:rsidRPr="005F30F5">
        <w:rPr>
          <w:bCs/>
          <w:iCs/>
          <w:sz w:val="22"/>
          <w:szCs w:val="22"/>
        </w:rPr>
        <w:t>;</w:t>
      </w:r>
    </w:p>
    <w:p w:rsidR="003F6958" w:rsidRPr="005F30F5" w:rsidRDefault="003F695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 xml:space="preserve">- </w:t>
      </w:r>
      <w:r w:rsidR="00FF3DF2" w:rsidRPr="005F30F5">
        <w:rPr>
          <w:bCs/>
          <w:iCs/>
          <w:sz w:val="22"/>
          <w:szCs w:val="22"/>
        </w:rPr>
        <w:t xml:space="preserve">о рисках использования общего </w:t>
      </w:r>
      <w:r w:rsidRPr="00A37236">
        <w:rPr>
          <w:bCs/>
          <w:iCs/>
          <w:sz w:val="22"/>
          <w:szCs w:val="22"/>
        </w:rPr>
        <w:t>специального брокерского счета</w:t>
      </w:r>
      <w:r w:rsidR="00FF3DF2" w:rsidRPr="005F30F5">
        <w:rPr>
          <w:bCs/>
          <w:iCs/>
          <w:sz w:val="22"/>
          <w:szCs w:val="22"/>
        </w:rPr>
        <w:t xml:space="preserve">, о рисках, связанных с ведением клиринговой организацией общего учета переданных клиринговой организации в индивидуальное клиринговое обеспечение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>мущества</w:t>
      </w:r>
      <w:r w:rsidRPr="005F30F5">
        <w:rPr>
          <w:bCs/>
          <w:iCs/>
          <w:sz w:val="22"/>
          <w:szCs w:val="22"/>
        </w:rPr>
        <w:t xml:space="preserve"> Заявителя</w:t>
      </w:r>
      <w:r w:rsidR="00FF3DF2" w:rsidRPr="005F30F5">
        <w:rPr>
          <w:bCs/>
          <w:iCs/>
          <w:sz w:val="22"/>
          <w:szCs w:val="22"/>
        </w:rPr>
        <w:t xml:space="preserve">, и обязательств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>, возникших из сделок (договоров), заключенных за счет</w:t>
      </w:r>
      <w:r w:rsidRPr="005F30F5">
        <w:rPr>
          <w:bCs/>
          <w:iCs/>
          <w:sz w:val="22"/>
          <w:szCs w:val="22"/>
        </w:rPr>
        <w:t xml:space="preserve"> Заявителя</w:t>
      </w:r>
      <w:r w:rsidR="00FF3DF2" w:rsidRPr="005F30F5">
        <w:rPr>
          <w:bCs/>
          <w:iCs/>
          <w:sz w:val="22"/>
          <w:szCs w:val="22"/>
        </w:rPr>
        <w:t xml:space="preserve">, совместно с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 xml:space="preserve">муществом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 xml:space="preserve">, других клиентов, предоставивших </w:t>
      </w:r>
      <w:r w:rsidRPr="005F30F5">
        <w:rPr>
          <w:bCs/>
          <w:iCs/>
          <w:sz w:val="22"/>
          <w:szCs w:val="22"/>
        </w:rPr>
        <w:t>Брокеру</w:t>
      </w:r>
      <w:r w:rsidR="00FF3DF2" w:rsidRPr="005F30F5">
        <w:rPr>
          <w:bCs/>
          <w:iCs/>
          <w:sz w:val="22"/>
          <w:szCs w:val="22"/>
        </w:rPr>
        <w:t xml:space="preserve"> право использования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>мущества</w:t>
      </w:r>
      <w:r w:rsidR="002F4288">
        <w:rPr>
          <w:bCs/>
          <w:iCs/>
          <w:sz w:val="22"/>
          <w:szCs w:val="22"/>
        </w:rPr>
        <w:t>;</w:t>
      </w:r>
      <w:r w:rsidR="00FF3DF2" w:rsidRPr="005F30F5">
        <w:rPr>
          <w:bCs/>
          <w:iCs/>
          <w:sz w:val="22"/>
          <w:szCs w:val="22"/>
        </w:rPr>
        <w:t xml:space="preserve"> </w:t>
      </w:r>
      <w:r w:rsidRPr="005F30F5">
        <w:rPr>
          <w:bCs/>
          <w:iCs/>
          <w:sz w:val="22"/>
          <w:szCs w:val="22"/>
        </w:rPr>
        <w:t xml:space="preserve">Заявитель </w:t>
      </w:r>
      <w:r w:rsidR="00FF3DF2" w:rsidRPr="005F30F5">
        <w:rPr>
          <w:bCs/>
          <w:iCs/>
          <w:sz w:val="22"/>
          <w:szCs w:val="22"/>
        </w:rPr>
        <w:t>осозна</w:t>
      </w:r>
      <w:r w:rsidRPr="005F30F5">
        <w:rPr>
          <w:bCs/>
          <w:iCs/>
          <w:sz w:val="22"/>
          <w:szCs w:val="22"/>
        </w:rPr>
        <w:t>ёт</w:t>
      </w:r>
      <w:r w:rsidR="00FF3DF2" w:rsidRPr="005F30F5">
        <w:rPr>
          <w:bCs/>
          <w:iCs/>
          <w:sz w:val="22"/>
          <w:szCs w:val="22"/>
        </w:rPr>
        <w:t xml:space="preserve"> эти риски, и они являются</w:t>
      </w:r>
      <w:r w:rsidRPr="005F30F5">
        <w:rPr>
          <w:bCs/>
          <w:iCs/>
          <w:sz w:val="22"/>
          <w:szCs w:val="22"/>
        </w:rPr>
        <w:t xml:space="preserve"> для него</w:t>
      </w:r>
      <w:r w:rsidR="00FF3DF2" w:rsidRPr="005F30F5">
        <w:rPr>
          <w:bCs/>
          <w:iCs/>
          <w:sz w:val="22"/>
          <w:szCs w:val="22"/>
        </w:rPr>
        <w:t xml:space="preserve"> приемлемыми;</w:t>
      </w:r>
    </w:p>
    <w:p w:rsidR="005F30F5" w:rsidRPr="005F30F5" w:rsidRDefault="003F695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>-</w:t>
      </w:r>
      <w:r w:rsidR="00FF3DF2" w:rsidRPr="005F30F5">
        <w:rPr>
          <w:bCs/>
          <w:iCs/>
          <w:sz w:val="22"/>
          <w:szCs w:val="22"/>
        </w:rPr>
        <w:t xml:space="preserve"> о рисках, связанных с использованием </w:t>
      </w:r>
      <w:r w:rsidRPr="005F30F5">
        <w:rPr>
          <w:bCs/>
          <w:iCs/>
          <w:sz w:val="22"/>
          <w:szCs w:val="22"/>
        </w:rPr>
        <w:t>Имущества Заявителя</w:t>
      </w:r>
      <w:r w:rsidR="00FF3DF2" w:rsidRPr="005F30F5">
        <w:rPr>
          <w:bCs/>
          <w:iCs/>
          <w:sz w:val="22"/>
          <w:szCs w:val="22"/>
        </w:rPr>
        <w:t xml:space="preserve"> для обеспечения исполнения обязательств по сделкам, совершаемым за собственный счет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 xml:space="preserve"> и (или) за счет других клиентов</w:t>
      </w:r>
      <w:r w:rsidR="005F30F5" w:rsidRPr="005F30F5">
        <w:rPr>
          <w:bCs/>
          <w:iCs/>
          <w:sz w:val="22"/>
          <w:szCs w:val="22"/>
        </w:rPr>
        <w:t xml:space="preserve">; Заявитель </w:t>
      </w:r>
      <w:r w:rsidR="00FF3DF2" w:rsidRPr="005F30F5">
        <w:rPr>
          <w:bCs/>
          <w:iCs/>
          <w:sz w:val="22"/>
          <w:szCs w:val="22"/>
        </w:rPr>
        <w:t>осозна</w:t>
      </w:r>
      <w:r w:rsidR="005F30F5" w:rsidRPr="005F30F5">
        <w:rPr>
          <w:bCs/>
          <w:iCs/>
          <w:sz w:val="22"/>
          <w:szCs w:val="22"/>
        </w:rPr>
        <w:t>ёт</w:t>
      </w:r>
      <w:r w:rsidR="00FF3DF2" w:rsidRPr="005F30F5">
        <w:rPr>
          <w:bCs/>
          <w:iCs/>
          <w:sz w:val="22"/>
          <w:szCs w:val="22"/>
        </w:rPr>
        <w:t xml:space="preserve"> эти риски, и они являются </w:t>
      </w:r>
      <w:r w:rsidR="005F30F5" w:rsidRPr="005F30F5">
        <w:rPr>
          <w:bCs/>
          <w:iCs/>
          <w:sz w:val="22"/>
          <w:szCs w:val="22"/>
        </w:rPr>
        <w:t xml:space="preserve">для него </w:t>
      </w:r>
      <w:r w:rsidR="00FF3DF2" w:rsidRPr="005F30F5">
        <w:rPr>
          <w:bCs/>
          <w:iCs/>
          <w:sz w:val="22"/>
          <w:szCs w:val="22"/>
        </w:rPr>
        <w:t>приемлемыми</w:t>
      </w:r>
      <w:r w:rsidR="005F30F5" w:rsidRPr="005F30F5">
        <w:rPr>
          <w:bCs/>
          <w:iCs/>
          <w:sz w:val="22"/>
          <w:szCs w:val="22"/>
        </w:rPr>
        <w:t>;</w:t>
      </w:r>
    </w:p>
    <w:p w:rsidR="00FF3DF2" w:rsidRDefault="005F30F5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>-</w:t>
      </w:r>
      <w:r w:rsidR="00FF3DF2" w:rsidRPr="005F30F5">
        <w:rPr>
          <w:bCs/>
          <w:iCs/>
          <w:sz w:val="22"/>
          <w:szCs w:val="22"/>
        </w:rPr>
        <w:t xml:space="preserve"> о праве </w:t>
      </w:r>
      <w:r w:rsidRPr="005F30F5">
        <w:rPr>
          <w:bCs/>
          <w:iCs/>
          <w:sz w:val="22"/>
          <w:szCs w:val="22"/>
        </w:rPr>
        <w:t xml:space="preserve">Заявителя </w:t>
      </w:r>
      <w:r w:rsidR="00FF3DF2" w:rsidRPr="005F30F5">
        <w:rPr>
          <w:bCs/>
          <w:iCs/>
          <w:sz w:val="22"/>
          <w:szCs w:val="22"/>
        </w:rPr>
        <w:t>подат</w:t>
      </w:r>
      <w:r w:rsidRPr="005F30F5">
        <w:rPr>
          <w:bCs/>
          <w:iCs/>
          <w:sz w:val="22"/>
          <w:szCs w:val="22"/>
        </w:rPr>
        <w:t>ь Брокеру</w:t>
      </w:r>
      <w:r w:rsidR="00FF3DF2" w:rsidRPr="005F30F5">
        <w:rPr>
          <w:bCs/>
          <w:iCs/>
          <w:sz w:val="22"/>
          <w:szCs w:val="22"/>
        </w:rPr>
        <w:t xml:space="preserve"> заявление об отказе от предоставления </w:t>
      </w:r>
      <w:r w:rsidRPr="005F30F5">
        <w:rPr>
          <w:bCs/>
          <w:iCs/>
          <w:sz w:val="22"/>
          <w:szCs w:val="22"/>
        </w:rPr>
        <w:t>Брокеру</w:t>
      </w:r>
      <w:r w:rsidR="00FF3DF2" w:rsidRPr="005F30F5">
        <w:rPr>
          <w:bCs/>
          <w:iCs/>
          <w:sz w:val="22"/>
          <w:szCs w:val="22"/>
        </w:rPr>
        <w:t xml:space="preserve"> права использования в своих интересах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 xml:space="preserve">мущества </w:t>
      </w:r>
      <w:r w:rsidRPr="005F30F5">
        <w:rPr>
          <w:bCs/>
          <w:iCs/>
          <w:sz w:val="22"/>
          <w:szCs w:val="22"/>
        </w:rPr>
        <w:t>Заявителя</w:t>
      </w:r>
      <w:r w:rsidR="00FF3DF2" w:rsidRPr="005F30F5">
        <w:rPr>
          <w:bCs/>
          <w:iCs/>
          <w:sz w:val="22"/>
          <w:szCs w:val="22"/>
        </w:rPr>
        <w:t xml:space="preserve"> способами и формами, предусмотренными </w:t>
      </w:r>
      <w:r w:rsidRPr="00A37236">
        <w:rPr>
          <w:bCs/>
          <w:iCs/>
          <w:sz w:val="22"/>
          <w:szCs w:val="22"/>
        </w:rPr>
        <w:t>«Регламентом оказания брокерских услуг на рынке ценных бумаг Общества с ограниченной ответственностью «ИНВЕСТИЦИОННАЯ КОМПАНИЯ «ФИНПРОИНВЕСТ»</w:t>
      </w:r>
      <w:r w:rsidR="00FF3DF2" w:rsidRPr="005F30F5">
        <w:rPr>
          <w:bCs/>
          <w:iCs/>
          <w:sz w:val="22"/>
          <w:szCs w:val="22"/>
        </w:rPr>
        <w:t>, и о последствиях такого отказа</w:t>
      </w:r>
      <w:r w:rsidR="00B37084">
        <w:rPr>
          <w:bCs/>
          <w:iCs/>
          <w:sz w:val="22"/>
          <w:szCs w:val="22"/>
        </w:rPr>
        <w:t>.</w:t>
      </w:r>
    </w:p>
    <w:p w:rsidR="00B37084" w:rsidRDefault="00B37084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C12685" w:rsidRPr="00C12685" w:rsidRDefault="0030194C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</w:t>
      </w:r>
      <w:r w:rsidR="00C12685" w:rsidRPr="00C12685">
        <w:rPr>
          <w:bCs/>
          <w:iCs/>
          <w:sz w:val="22"/>
          <w:szCs w:val="22"/>
        </w:rPr>
        <w:t xml:space="preserve"> </w:t>
      </w:r>
      <w:r w:rsidR="00C12685">
        <w:rPr>
          <w:bCs/>
          <w:iCs/>
          <w:sz w:val="22"/>
          <w:szCs w:val="22"/>
        </w:rPr>
        <w:t>Заявитель</w:t>
      </w:r>
      <w:r w:rsidR="00C12685" w:rsidRPr="00C12685">
        <w:rPr>
          <w:bCs/>
          <w:iCs/>
          <w:sz w:val="22"/>
          <w:szCs w:val="22"/>
        </w:rPr>
        <w:t xml:space="preserve"> не предоставляет </w:t>
      </w:r>
      <w:r w:rsidR="00C12685"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 xml:space="preserve"> согласия на использование </w:t>
      </w:r>
      <w:r w:rsidR="00C12685"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 w:rsidR="00C12685"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 w:rsidR="00C12685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в связи с чем </w:t>
      </w:r>
      <w:r w:rsidR="00C12685">
        <w:rPr>
          <w:bCs/>
          <w:iCs/>
          <w:sz w:val="22"/>
          <w:szCs w:val="22"/>
        </w:rPr>
        <w:t>Заявитель</w:t>
      </w:r>
      <w:r w:rsidR="00C12685" w:rsidRPr="00C12685">
        <w:rPr>
          <w:bCs/>
          <w:iCs/>
          <w:sz w:val="22"/>
          <w:szCs w:val="22"/>
        </w:rPr>
        <w:t xml:space="preserve"> поручает </w:t>
      </w:r>
      <w:r w:rsidR="00C12685"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>:</w:t>
      </w:r>
    </w:p>
    <w:p w:rsidR="00C12685" w:rsidRPr="00C12685" w:rsidRDefault="00C12685" w:rsidP="00346D6D">
      <w:pPr>
        <w:adjustRightInd w:val="0"/>
        <w:snapToGrid w:val="0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клиринговой организацией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, предоставленного в качестве обеспечения обязательств, допущенных к клирингу, и обязательств из сделок (договоров), заключенных </w:t>
      </w:r>
      <w:r>
        <w:rPr>
          <w:bCs/>
          <w:iCs/>
          <w:sz w:val="22"/>
          <w:szCs w:val="22"/>
        </w:rPr>
        <w:t>Брокером</w:t>
      </w:r>
      <w:r w:rsidRPr="00C12685">
        <w:rPr>
          <w:bCs/>
          <w:iCs/>
          <w:sz w:val="22"/>
          <w:szCs w:val="22"/>
        </w:rPr>
        <w:t xml:space="preserve"> за счет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(индивидуального клирингового обеспечения), совместно с имуществом и обязательствами из сделок (договоров) других клиентов, не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и которое не может быть использовано для </w:t>
      </w:r>
      <w:r w:rsidRPr="00346D6D">
        <w:rPr>
          <w:sz w:val="22"/>
          <w:szCs w:val="22"/>
          <w:lang w:eastAsia="en-US"/>
        </w:rPr>
        <w:t>исполнения</w:t>
      </w:r>
      <w:r w:rsidRPr="00C12685">
        <w:rPr>
          <w:bCs/>
          <w:iCs/>
          <w:sz w:val="22"/>
          <w:szCs w:val="22"/>
        </w:rPr>
        <w:t xml:space="preserve"> (обеспечения исполнения) обязательств по сделкам, заключенным за счет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и (или) за счет других клиентов, предоставивших право использования </w:t>
      </w:r>
      <w:r>
        <w:rPr>
          <w:bCs/>
          <w:iCs/>
          <w:sz w:val="22"/>
          <w:szCs w:val="22"/>
        </w:rPr>
        <w:t>Имущества в интересах Компании;</w:t>
      </w:r>
    </w:p>
    <w:p w:rsidR="00C12685" w:rsidRPr="00C12685" w:rsidRDefault="00C12685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кредитными организациями отдельных банковских счетов для учета </w:t>
      </w:r>
      <w:r>
        <w:rPr>
          <w:bCs/>
          <w:iCs/>
          <w:sz w:val="22"/>
          <w:szCs w:val="22"/>
        </w:rPr>
        <w:t xml:space="preserve">Имущества Заявителя </w:t>
      </w:r>
      <w:r w:rsidRPr="00C12685">
        <w:rPr>
          <w:bCs/>
          <w:iCs/>
          <w:sz w:val="22"/>
          <w:szCs w:val="22"/>
        </w:rPr>
        <w:t xml:space="preserve">совместно с </w:t>
      </w:r>
      <w:r>
        <w:rPr>
          <w:bCs/>
          <w:iCs/>
          <w:sz w:val="22"/>
          <w:szCs w:val="22"/>
        </w:rPr>
        <w:t>Имуществом</w:t>
      </w:r>
      <w:r w:rsidRPr="00C12685">
        <w:rPr>
          <w:bCs/>
          <w:iCs/>
          <w:sz w:val="22"/>
          <w:szCs w:val="22"/>
        </w:rPr>
        <w:t xml:space="preserve"> иных клиентов, не предоставивших согласия на использование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обособленно от </w:t>
      </w:r>
      <w:r>
        <w:rPr>
          <w:bCs/>
          <w:iCs/>
          <w:sz w:val="22"/>
          <w:szCs w:val="22"/>
        </w:rPr>
        <w:t>Имущество Брокера и</w:t>
      </w:r>
      <w:r w:rsidRPr="00C12685">
        <w:rPr>
          <w:bCs/>
          <w:iCs/>
          <w:sz w:val="22"/>
          <w:szCs w:val="22"/>
        </w:rPr>
        <w:t xml:space="preserve"> других клиентов,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>;</w:t>
      </w:r>
    </w:p>
    <w:p w:rsidR="00C12685" w:rsidRPr="00C12685" w:rsidRDefault="00C12685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в расчетном депозитарии отдельного раздела счета депо для учета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</w:t>
      </w:r>
      <w:r w:rsidR="00F909F8"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совместно с </w:t>
      </w:r>
      <w:r w:rsidR="00F909F8">
        <w:rPr>
          <w:bCs/>
          <w:iCs/>
          <w:sz w:val="22"/>
          <w:szCs w:val="22"/>
        </w:rPr>
        <w:t>ценными бумагами</w:t>
      </w:r>
      <w:r w:rsidRPr="00C12685">
        <w:rPr>
          <w:bCs/>
          <w:iCs/>
          <w:sz w:val="22"/>
          <w:szCs w:val="22"/>
        </w:rPr>
        <w:t xml:space="preserve"> иных клиентов, не предоставивших согласия на использование </w:t>
      </w:r>
      <w:r w:rsidR="00F909F8"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 w:rsidR="00F909F8"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обособленно от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</w:t>
      </w:r>
      <w:r w:rsidR="00F909F8"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и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других клиентов, предоставивших право использования </w:t>
      </w:r>
      <w:r w:rsidR="00F909F8"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интересах </w:t>
      </w:r>
      <w:r w:rsidR="00F909F8">
        <w:rPr>
          <w:bCs/>
          <w:iCs/>
          <w:sz w:val="22"/>
          <w:szCs w:val="22"/>
        </w:rPr>
        <w:t>Брокера.</w:t>
      </w:r>
    </w:p>
    <w:p w:rsidR="00F909F8" w:rsidRDefault="00F909F8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Заявитель уведомлён</w:t>
      </w:r>
      <w:r w:rsidR="00C12685" w:rsidRPr="00C12685">
        <w:rPr>
          <w:bCs/>
          <w:iCs/>
          <w:sz w:val="22"/>
          <w:szCs w:val="22"/>
        </w:rPr>
        <w:t>:</w:t>
      </w:r>
    </w:p>
    <w:p w:rsidR="00EE6BB0" w:rsidRDefault="00F909F8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BB056A">
        <w:rPr>
          <w:bCs/>
          <w:iCs/>
          <w:sz w:val="22"/>
          <w:szCs w:val="22"/>
        </w:rPr>
        <w:t xml:space="preserve">что </w:t>
      </w:r>
      <w:r w:rsidR="00C12685" w:rsidRPr="00C12685">
        <w:rPr>
          <w:bCs/>
          <w:iCs/>
          <w:sz w:val="22"/>
          <w:szCs w:val="22"/>
        </w:rPr>
        <w:t xml:space="preserve">при использовании </w:t>
      </w:r>
      <w:r w:rsidRPr="00A37236">
        <w:rPr>
          <w:bCs/>
          <w:iCs/>
          <w:sz w:val="22"/>
          <w:szCs w:val="22"/>
        </w:rPr>
        <w:t>отдельного специального брокерского счета</w:t>
      </w:r>
      <w:r w:rsidR="00C12685" w:rsidRPr="00C12685">
        <w:rPr>
          <w:bCs/>
          <w:iCs/>
          <w:sz w:val="22"/>
          <w:szCs w:val="22"/>
        </w:rPr>
        <w:t xml:space="preserve"> для совместного учета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клиентов без права использования, </w:t>
      </w:r>
      <w:r>
        <w:rPr>
          <w:bCs/>
          <w:iCs/>
          <w:sz w:val="22"/>
          <w:szCs w:val="22"/>
        </w:rPr>
        <w:t>Имущество Заявителя</w:t>
      </w:r>
      <w:r w:rsidR="00C12685" w:rsidRPr="00C12685">
        <w:rPr>
          <w:bCs/>
          <w:iCs/>
          <w:sz w:val="22"/>
          <w:szCs w:val="22"/>
        </w:rPr>
        <w:t xml:space="preserve"> буд</w:t>
      </w:r>
      <w:r>
        <w:rPr>
          <w:bCs/>
          <w:iCs/>
          <w:sz w:val="22"/>
          <w:szCs w:val="22"/>
        </w:rPr>
        <w:t>е</w:t>
      </w:r>
      <w:r w:rsidR="00C12685" w:rsidRPr="00C12685">
        <w:rPr>
          <w:bCs/>
          <w:iCs/>
          <w:sz w:val="22"/>
          <w:szCs w:val="22"/>
        </w:rPr>
        <w:t>т учитываться на указанн</w:t>
      </w:r>
      <w:r w:rsidR="00EE6BB0">
        <w:rPr>
          <w:bCs/>
          <w:iCs/>
          <w:sz w:val="22"/>
          <w:szCs w:val="22"/>
        </w:rPr>
        <w:t>ом</w:t>
      </w:r>
      <w:r w:rsidR="00C12685" w:rsidRPr="00C12685">
        <w:rPr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специально</w:t>
      </w:r>
      <w:r w:rsidR="00EE6BB0">
        <w:rPr>
          <w:bCs/>
          <w:iCs/>
          <w:sz w:val="22"/>
          <w:szCs w:val="22"/>
        </w:rPr>
        <w:t>м</w:t>
      </w:r>
      <w:r w:rsidRPr="00A37236">
        <w:rPr>
          <w:bCs/>
          <w:iCs/>
          <w:sz w:val="22"/>
          <w:szCs w:val="22"/>
        </w:rPr>
        <w:t xml:space="preserve"> брокерско</w:t>
      </w:r>
      <w:r w:rsidR="00EE6BB0">
        <w:rPr>
          <w:bCs/>
          <w:iCs/>
          <w:sz w:val="22"/>
          <w:szCs w:val="22"/>
        </w:rPr>
        <w:t>м</w:t>
      </w:r>
      <w:r w:rsidRPr="00A37236">
        <w:rPr>
          <w:bCs/>
          <w:iCs/>
          <w:sz w:val="22"/>
          <w:szCs w:val="22"/>
        </w:rPr>
        <w:t xml:space="preserve"> сч</w:t>
      </w:r>
      <w:r w:rsidR="00EE6BB0">
        <w:rPr>
          <w:bCs/>
          <w:iCs/>
          <w:sz w:val="22"/>
          <w:szCs w:val="22"/>
        </w:rPr>
        <w:t>ё</w:t>
      </w:r>
      <w:r w:rsidRPr="00A37236">
        <w:rPr>
          <w:bCs/>
          <w:iCs/>
          <w:sz w:val="22"/>
          <w:szCs w:val="22"/>
        </w:rPr>
        <w:t>т</w:t>
      </w:r>
      <w:r w:rsidR="00EE6BB0">
        <w:rPr>
          <w:bCs/>
          <w:iCs/>
          <w:sz w:val="22"/>
          <w:szCs w:val="22"/>
        </w:rPr>
        <w:t>е</w:t>
      </w:r>
      <w:r w:rsidR="00C12685" w:rsidRPr="00C12685">
        <w:rPr>
          <w:bCs/>
          <w:iCs/>
          <w:sz w:val="22"/>
          <w:szCs w:val="22"/>
        </w:rPr>
        <w:t xml:space="preserve"> вместе с </w:t>
      </w:r>
      <w:r w:rsidR="00EE6BB0">
        <w:rPr>
          <w:bCs/>
          <w:iCs/>
          <w:sz w:val="22"/>
          <w:szCs w:val="22"/>
        </w:rPr>
        <w:t>Имуществом</w:t>
      </w:r>
      <w:r w:rsidR="00C12685" w:rsidRPr="00C12685">
        <w:rPr>
          <w:bCs/>
          <w:iCs/>
          <w:sz w:val="22"/>
          <w:szCs w:val="22"/>
        </w:rPr>
        <w:t xml:space="preserve"> других клиентов </w:t>
      </w:r>
      <w:r w:rsidR="00EE6BB0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не предоставивших </w:t>
      </w:r>
      <w:r w:rsidR="00EE6BB0">
        <w:rPr>
          <w:bCs/>
          <w:iCs/>
          <w:sz w:val="22"/>
          <w:szCs w:val="22"/>
        </w:rPr>
        <w:t>ему</w:t>
      </w:r>
      <w:r w:rsidR="00C12685" w:rsidRPr="00C12685">
        <w:rPr>
          <w:bCs/>
          <w:iCs/>
          <w:sz w:val="22"/>
          <w:szCs w:val="22"/>
        </w:rPr>
        <w:t xml:space="preserve"> право использования </w:t>
      </w:r>
      <w:r w:rsidR="00EE6BB0">
        <w:rPr>
          <w:bCs/>
          <w:iCs/>
          <w:sz w:val="22"/>
          <w:szCs w:val="22"/>
        </w:rPr>
        <w:t>такого Имущества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 w:rsidR="00EE6BB0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;</w:t>
      </w:r>
    </w:p>
    <w:p w:rsidR="00EE6BB0" w:rsidRDefault="00EE6BB0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="00C12685" w:rsidRPr="00C12685">
        <w:rPr>
          <w:bCs/>
          <w:iCs/>
          <w:sz w:val="22"/>
          <w:szCs w:val="22"/>
        </w:rPr>
        <w:t xml:space="preserve"> о праве потребовать от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 открытия отдельного банковского счета в кредитной организации для учета</w:t>
      </w:r>
      <w:r>
        <w:rPr>
          <w:bCs/>
          <w:iCs/>
          <w:sz w:val="22"/>
          <w:szCs w:val="22"/>
        </w:rPr>
        <w:t xml:space="preserve"> собственно</w:t>
      </w:r>
      <w:r w:rsidR="00C12685" w:rsidRPr="00C1268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Имущества Заявителя</w:t>
      </w:r>
      <w:r w:rsidR="00C12685" w:rsidRPr="00C12685">
        <w:rPr>
          <w:bCs/>
          <w:iCs/>
          <w:sz w:val="22"/>
          <w:szCs w:val="22"/>
        </w:rPr>
        <w:t xml:space="preserve"> отдельно от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других клиентов, в том числе отдельно от клиентов, не предоставивших </w:t>
      </w:r>
      <w:r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 xml:space="preserve"> право использования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 и</w:t>
      </w:r>
      <w:r w:rsidR="00C12685" w:rsidRPr="00C12685">
        <w:rPr>
          <w:bCs/>
          <w:iCs/>
          <w:sz w:val="22"/>
          <w:szCs w:val="22"/>
        </w:rPr>
        <w:t xml:space="preserve"> организации ведения клиринговой организацией отдельного учета </w:t>
      </w:r>
      <w:r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мущества, предоставленного </w:t>
      </w:r>
      <w:r>
        <w:rPr>
          <w:bCs/>
          <w:iCs/>
          <w:sz w:val="22"/>
          <w:szCs w:val="22"/>
        </w:rPr>
        <w:t>Заявителем</w:t>
      </w:r>
      <w:r w:rsidR="00C12685" w:rsidRPr="00C12685">
        <w:rPr>
          <w:bCs/>
          <w:iCs/>
          <w:sz w:val="22"/>
          <w:szCs w:val="22"/>
        </w:rPr>
        <w:t xml:space="preserve"> в качестве обеспечения, и обязательств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, возникших из сделок, заключенных за счет</w:t>
      </w:r>
      <w:r>
        <w:rPr>
          <w:bCs/>
          <w:iCs/>
          <w:sz w:val="22"/>
          <w:szCs w:val="22"/>
        </w:rPr>
        <w:t xml:space="preserve"> Заявителя</w:t>
      </w:r>
      <w:r w:rsidR="00C12685" w:rsidRPr="00C12685">
        <w:rPr>
          <w:bCs/>
          <w:iCs/>
          <w:sz w:val="22"/>
          <w:szCs w:val="22"/>
        </w:rPr>
        <w:t xml:space="preserve">, </w:t>
      </w:r>
      <w:r w:rsidRPr="005F30F5">
        <w:rPr>
          <w:bCs/>
          <w:iCs/>
          <w:sz w:val="22"/>
          <w:szCs w:val="22"/>
        </w:rPr>
        <w:t>но Заявитель отказывается от реализации указанного права</w:t>
      </w:r>
      <w:r>
        <w:rPr>
          <w:bCs/>
          <w:iCs/>
          <w:sz w:val="22"/>
          <w:szCs w:val="22"/>
        </w:rPr>
        <w:t>;</w:t>
      </w:r>
    </w:p>
    <w:p w:rsidR="00BB056A" w:rsidRDefault="00EE6BB0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 необходимости</w:t>
      </w:r>
      <w:r w:rsidR="00BB056A">
        <w:rPr>
          <w:bCs/>
          <w:iCs/>
          <w:sz w:val="22"/>
          <w:szCs w:val="22"/>
        </w:rPr>
        <w:t xml:space="preserve"> оплаты Заявителем</w:t>
      </w:r>
      <w:r w:rsidR="00C12685" w:rsidRPr="00C12685">
        <w:rPr>
          <w:bCs/>
          <w:iCs/>
          <w:sz w:val="22"/>
          <w:szCs w:val="22"/>
        </w:rPr>
        <w:t xml:space="preserve"> стоимости услуги </w:t>
      </w:r>
      <w:r w:rsidR="00BB056A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 по организации отдельного учета </w:t>
      </w:r>
      <w:r w:rsidR="00BB056A"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 w:rsidR="00BB056A"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и обязательств из сделок (договоров), заключаемых за счет </w:t>
      </w:r>
      <w:r w:rsidR="00BB056A">
        <w:rPr>
          <w:bCs/>
          <w:iCs/>
          <w:sz w:val="22"/>
          <w:szCs w:val="22"/>
        </w:rPr>
        <w:t>Заявителя,</w:t>
      </w:r>
      <w:r w:rsidR="00BB056A" w:rsidRPr="00BB056A">
        <w:rPr>
          <w:bCs/>
          <w:iCs/>
          <w:sz w:val="22"/>
          <w:szCs w:val="22"/>
        </w:rPr>
        <w:t xml:space="preserve"> </w:t>
      </w:r>
      <w:r w:rsidR="00BB056A" w:rsidRPr="00C12685">
        <w:rPr>
          <w:bCs/>
          <w:iCs/>
          <w:sz w:val="22"/>
          <w:szCs w:val="22"/>
        </w:rPr>
        <w:t xml:space="preserve">и клиентов </w:t>
      </w:r>
      <w:r w:rsidR="00BB056A">
        <w:rPr>
          <w:bCs/>
          <w:iCs/>
          <w:sz w:val="22"/>
          <w:szCs w:val="22"/>
        </w:rPr>
        <w:t>Брокера</w:t>
      </w:r>
      <w:r w:rsidR="00BB056A" w:rsidRPr="00C12685">
        <w:rPr>
          <w:bCs/>
          <w:iCs/>
          <w:sz w:val="22"/>
          <w:szCs w:val="22"/>
        </w:rPr>
        <w:t xml:space="preserve">, не предоставивших </w:t>
      </w:r>
      <w:r w:rsidR="00BB056A">
        <w:rPr>
          <w:bCs/>
          <w:iCs/>
          <w:sz w:val="22"/>
          <w:szCs w:val="22"/>
        </w:rPr>
        <w:t>ему</w:t>
      </w:r>
      <w:r w:rsidR="00BB056A" w:rsidRPr="00C12685">
        <w:rPr>
          <w:bCs/>
          <w:iCs/>
          <w:sz w:val="22"/>
          <w:szCs w:val="22"/>
        </w:rPr>
        <w:t xml:space="preserve"> права на использование </w:t>
      </w:r>
      <w:r w:rsidR="00BB056A">
        <w:rPr>
          <w:bCs/>
          <w:iCs/>
          <w:sz w:val="22"/>
          <w:szCs w:val="22"/>
        </w:rPr>
        <w:t>И</w:t>
      </w:r>
      <w:r w:rsidR="00BB056A" w:rsidRPr="00C12685">
        <w:rPr>
          <w:bCs/>
          <w:iCs/>
          <w:sz w:val="22"/>
          <w:szCs w:val="22"/>
        </w:rPr>
        <w:t xml:space="preserve">мущества в </w:t>
      </w:r>
      <w:r w:rsidR="00BB056A">
        <w:rPr>
          <w:bCs/>
          <w:iCs/>
          <w:sz w:val="22"/>
          <w:szCs w:val="22"/>
        </w:rPr>
        <w:t>и</w:t>
      </w:r>
      <w:r w:rsidR="00BB056A" w:rsidRPr="00C12685">
        <w:rPr>
          <w:bCs/>
          <w:iCs/>
          <w:sz w:val="22"/>
          <w:szCs w:val="22"/>
        </w:rPr>
        <w:t xml:space="preserve">нтересах </w:t>
      </w:r>
      <w:r w:rsidR="00BB056A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;</w:t>
      </w:r>
    </w:p>
    <w:p w:rsidR="002F4288" w:rsidRDefault="00BB056A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="00C12685" w:rsidRPr="00C12685">
        <w:rPr>
          <w:bCs/>
          <w:iCs/>
          <w:sz w:val="22"/>
          <w:szCs w:val="22"/>
        </w:rPr>
        <w:t xml:space="preserve"> о рисках использования </w:t>
      </w:r>
      <w:r w:rsidRPr="00A37236">
        <w:rPr>
          <w:bCs/>
          <w:iCs/>
          <w:sz w:val="22"/>
          <w:szCs w:val="22"/>
        </w:rPr>
        <w:t>отдельного специального брокерского счета</w:t>
      </w:r>
      <w:r w:rsidR="00C12685" w:rsidRPr="00C12685">
        <w:rPr>
          <w:bCs/>
          <w:iCs/>
          <w:sz w:val="22"/>
          <w:szCs w:val="22"/>
        </w:rPr>
        <w:t xml:space="preserve"> для совместного учета </w:t>
      </w:r>
      <w:r>
        <w:rPr>
          <w:bCs/>
          <w:iCs/>
          <w:sz w:val="22"/>
          <w:szCs w:val="22"/>
        </w:rPr>
        <w:t xml:space="preserve">Имущества </w:t>
      </w:r>
      <w:r w:rsidR="00C12685" w:rsidRPr="00C12685">
        <w:rPr>
          <w:bCs/>
          <w:iCs/>
          <w:sz w:val="22"/>
          <w:szCs w:val="22"/>
        </w:rPr>
        <w:t xml:space="preserve">клиентов без права использования </w:t>
      </w:r>
      <w:r>
        <w:rPr>
          <w:bCs/>
          <w:iCs/>
          <w:sz w:val="22"/>
          <w:szCs w:val="22"/>
        </w:rPr>
        <w:t>такого Имущества</w:t>
      </w:r>
      <w:r w:rsidR="00C12685" w:rsidRPr="00C12685">
        <w:rPr>
          <w:bCs/>
          <w:iCs/>
          <w:sz w:val="22"/>
          <w:szCs w:val="22"/>
        </w:rPr>
        <w:t xml:space="preserve">, отдельного раздела счета депо для совместного учета </w:t>
      </w:r>
      <w:r>
        <w:rPr>
          <w:bCs/>
          <w:iCs/>
          <w:sz w:val="22"/>
          <w:szCs w:val="22"/>
        </w:rPr>
        <w:t>ценных бумаг</w:t>
      </w:r>
      <w:r w:rsidR="00C12685" w:rsidRPr="00C12685">
        <w:rPr>
          <w:bCs/>
          <w:iCs/>
          <w:sz w:val="22"/>
          <w:szCs w:val="22"/>
        </w:rPr>
        <w:t xml:space="preserve"> клиентов без права использования </w:t>
      </w:r>
      <w:r>
        <w:rPr>
          <w:bCs/>
          <w:iCs/>
          <w:sz w:val="22"/>
          <w:szCs w:val="22"/>
        </w:rPr>
        <w:t>таких ценных бумаг</w:t>
      </w:r>
      <w:r w:rsidR="00C12685" w:rsidRPr="00C12685">
        <w:rPr>
          <w:bCs/>
          <w:iCs/>
          <w:sz w:val="22"/>
          <w:szCs w:val="22"/>
        </w:rPr>
        <w:t xml:space="preserve">, о рисках, связанных с ведением клиринговой организацией совместного учета имущества </w:t>
      </w:r>
      <w:r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, предоставленного в индивидуальное клиринговое обеспечение, с имуществом других клиентов, не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и совместно с обязательствами из сделок, заключенных </w:t>
      </w:r>
      <w:r>
        <w:rPr>
          <w:bCs/>
          <w:iCs/>
          <w:sz w:val="22"/>
          <w:szCs w:val="22"/>
        </w:rPr>
        <w:t>Брокером</w:t>
      </w:r>
      <w:r w:rsidR="00C12685" w:rsidRPr="00C12685">
        <w:rPr>
          <w:bCs/>
          <w:iCs/>
          <w:sz w:val="22"/>
          <w:szCs w:val="22"/>
        </w:rPr>
        <w:t xml:space="preserve"> за счет указанных клиентов</w:t>
      </w:r>
      <w:r w:rsidR="002F4288">
        <w:rPr>
          <w:bCs/>
          <w:iCs/>
          <w:sz w:val="22"/>
          <w:szCs w:val="22"/>
        </w:rPr>
        <w:t xml:space="preserve">; </w:t>
      </w:r>
      <w:r w:rsidR="002F4288" w:rsidRPr="005F30F5">
        <w:rPr>
          <w:bCs/>
          <w:iCs/>
          <w:sz w:val="22"/>
          <w:szCs w:val="22"/>
        </w:rPr>
        <w:t>Заявитель осознаёт эти риски, и они являются для него приемлемыми;</w:t>
      </w:r>
    </w:p>
    <w:p w:rsidR="005D76B0" w:rsidRPr="002F4288" w:rsidRDefault="002F4288" w:rsidP="005D76B0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lastRenderedPageBreak/>
        <w:sym w:font="Wingdings" w:char="F0A8"/>
      </w:r>
      <w:r w:rsidRPr="00A37236">
        <w:rPr>
          <w:bCs/>
          <w:iCs/>
          <w:sz w:val="22"/>
          <w:szCs w:val="22"/>
        </w:rPr>
        <w:t xml:space="preserve"> </w:t>
      </w:r>
      <w:r w:rsidR="00B37084">
        <w:rPr>
          <w:bCs/>
          <w:iCs/>
          <w:sz w:val="22"/>
          <w:szCs w:val="22"/>
        </w:rPr>
        <w:t>обособленного отдельного</w:t>
      </w:r>
      <w:r w:rsidRPr="00A37236">
        <w:rPr>
          <w:bCs/>
          <w:iCs/>
          <w:sz w:val="22"/>
          <w:szCs w:val="22"/>
        </w:rPr>
        <w:t xml:space="preserve"> специального брокерского счета в кредитных организациях</w:t>
      </w:r>
      <w:r w:rsidR="00B37084">
        <w:rPr>
          <w:bCs/>
          <w:iCs/>
          <w:sz w:val="22"/>
          <w:szCs w:val="22"/>
        </w:rPr>
        <w:t>.</w:t>
      </w:r>
      <w:r w:rsidRPr="002F4288">
        <w:rPr>
          <w:bCs/>
          <w:iCs/>
          <w:sz w:val="22"/>
          <w:szCs w:val="22"/>
        </w:rPr>
        <w:t xml:space="preserve"> </w:t>
      </w:r>
      <w:r w:rsidR="005D76B0">
        <w:rPr>
          <w:bCs/>
          <w:iCs/>
          <w:sz w:val="22"/>
          <w:szCs w:val="22"/>
        </w:rPr>
        <w:t>Заявитель</w:t>
      </w:r>
      <w:r w:rsidR="005D76B0" w:rsidRPr="00C12685">
        <w:rPr>
          <w:bCs/>
          <w:iCs/>
          <w:sz w:val="22"/>
          <w:szCs w:val="22"/>
        </w:rPr>
        <w:t xml:space="preserve"> не предоставляет </w:t>
      </w:r>
      <w:r w:rsidR="005D76B0">
        <w:rPr>
          <w:bCs/>
          <w:iCs/>
          <w:sz w:val="22"/>
          <w:szCs w:val="22"/>
        </w:rPr>
        <w:t>Брокеру</w:t>
      </w:r>
      <w:r w:rsidR="005D76B0" w:rsidRPr="00C12685">
        <w:rPr>
          <w:bCs/>
          <w:iCs/>
          <w:sz w:val="22"/>
          <w:szCs w:val="22"/>
        </w:rPr>
        <w:t xml:space="preserve"> согласия на использование </w:t>
      </w:r>
      <w:r w:rsidR="005D76B0">
        <w:rPr>
          <w:bCs/>
          <w:iCs/>
          <w:sz w:val="22"/>
          <w:szCs w:val="22"/>
        </w:rPr>
        <w:t>И</w:t>
      </w:r>
      <w:r w:rsidR="005D76B0" w:rsidRPr="00C12685">
        <w:rPr>
          <w:bCs/>
          <w:iCs/>
          <w:sz w:val="22"/>
          <w:szCs w:val="22"/>
        </w:rPr>
        <w:t xml:space="preserve">мущества </w:t>
      </w:r>
      <w:r w:rsidR="005D76B0">
        <w:rPr>
          <w:bCs/>
          <w:iCs/>
          <w:sz w:val="22"/>
          <w:szCs w:val="22"/>
        </w:rPr>
        <w:t>Заявителя</w:t>
      </w:r>
      <w:r w:rsidR="005D76B0" w:rsidRPr="00C12685">
        <w:rPr>
          <w:bCs/>
          <w:iCs/>
          <w:sz w:val="22"/>
          <w:szCs w:val="22"/>
        </w:rPr>
        <w:t xml:space="preserve"> в интересах </w:t>
      </w:r>
      <w:r w:rsidR="005D76B0">
        <w:rPr>
          <w:bCs/>
          <w:iCs/>
          <w:sz w:val="22"/>
          <w:szCs w:val="22"/>
        </w:rPr>
        <w:t>Брокера</w:t>
      </w:r>
      <w:r w:rsidR="00B37084">
        <w:rPr>
          <w:bCs/>
          <w:iCs/>
          <w:sz w:val="22"/>
          <w:szCs w:val="22"/>
        </w:rPr>
        <w:t xml:space="preserve"> и </w:t>
      </w:r>
      <w:r w:rsidR="00B37084" w:rsidRPr="002F4288">
        <w:rPr>
          <w:bCs/>
          <w:iCs/>
          <w:sz w:val="22"/>
          <w:szCs w:val="22"/>
        </w:rPr>
        <w:t>про</w:t>
      </w:r>
      <w:r w:rsidR="00B37084">
        <w:rPr>
          <w:bCs/>
          <w:iCs/>
          <w:sz w:val="22"/>
          <w:szCs w:val="22"/>
        </w:rPr>
        <w:t>сит</w:t>
      </w:r>
      <w:r w:rsidR="00B37084" w:rsidRPr="002F4288">
        <w:rPr>
          <w:bCs/>
          <w:iCs/>
          <w:sz w:val="22"/>
          <w:szCs w:val="22"/>
        </w:rPr>
        <w:t xml:space="preserve"> учитывать</w:t>
      </w:r>
      <w:r w:rsidR="00B37084">
        <w:rPr>
          <w:bCs/>
          <w:iCs/>
          <w:sz w:val="22"/>
          <w:szCs w:val="22"/>
        </w:rPr>
        <w:t xml:space="preserve"> Имущество </w:t>
      </w:r>
      <w:r w:rsidR="00B37084" w:rsidRPr="002F4288">
        <w:rPr>
          <w:bCs/>
          <w:iCs/>
          <w:sz w:val="22"/>
          <w:szCs w:val="22"/>
        </w:rPr>
        <w:t xml:space="preserve">на отдельном специальном брокерском </w:t>
      </w:r>
      <w:r w:rsidR="00B37084">
        <w:rPr>
          <w:bCs/>
          <w:iCs/>
          <w:sz w:val="22"/>
          <w:szCs w:val="22"/>
        </w:rPr>
        <w:t>счёте</w:t>
      </w:r>
      <w:r w:rsidR="00B37084" w:rsidRPr="002F4288">
        <w:rPr>
          <w:bCs/>
          <w:iCs/>
          <w:sz w:val="22"/>
          <w:szCs w:val="22"/>
        </w:rPr>
        <w:t xml:space="preserve">, открытом </w:t>
      </w:r>
      <w:r w:rsidR="00B37084">
        <w:rPr>
          <w:bCs/>
          <w:iCs/>
          <w:sz w:val="22"/>
          <w:szCs w:val="22"/>
        </w:rPr>
        <w:t>Брокером</w:t>
      </w:r>
      <w:r w:rsidR="00B37084" w:rsidRPr="002F4288">
        <w:rPr>
          <w:bCs/>
          <w:iCs/>
          <w:sz w:val="22"/>
          <w:szCs w:val="22"/>
        </w:rPr>
        <w:t xml:space="preserve"> в кредитной организации для учета </w:t>
      </w:r>
      <w:r w:rsidR="00B37084">
        <w:rPr>
          <w:bCs/>
          <w:iCs/>
          <w:sz w:val="22"/>
          <w:szCs w:val="22"/>
        </w:rPr>
        <w:t>Имущества Заявителя</w:t>
      </w:r>
      <w:r w:rsidR="00B37084" w:rsidRPr="002F4288">
        <w:rPr>
          <w:bCs/>
          <w:iCs/>
          <w:sz w:val="22"/>
          <w:szCs w:val="22"/>
        </w:rPr>
        <w:t>, обособлено от</w:t>
      </w:r>
      <w:r w:rsidR="00B37084">
        <w:rPr>
          <w:bCs/>
          <w:iCs/>
          <w:sz w:val="22"/>
          <w:szCs w:val="22"/>
        </w:rPr>
        <w:t xml:space="preserve"> Имущества Брокера и Имущества </w:t>
      </w:r>
      <w:r w:rsidR="00B37084" w:rsidRPr="002F4288">
        <w:rPr>
          <w:bCs/>
          <w:iCs/>
          <w:sz w:val="22"/>
          <w:szCs w:val="22"/>
        </w:rPr>
        <w:t xml:space="preserve">других клиентов, в т.ч. клиентов, не предоставивших право использования </w:t>
      </w:r>
      <w:r w:rsidR="00B37084">
        <w:rPr>
          <w:bCs/>
          <w:iCs/>
          <w:sz w:val="22"/>
          <w:szCs w:val="22"/>
        </w:rPr>
        <w:t>Имущества</w:t>
      </w:r>
      <w:r w:rsidR="00B37084" w:rsidRPr="002F4288">
        <w:rPr>
          <w:bCs/>
          <w:iCs/>
          <w:sz w:val="22"/>
          <w:szCs w:val="22"/>
        </w:rPr>
        <w:t xml:space="preserve"> интересах </w:t>
      </w:r>
      <w:r w:rsidR="00B37084">
        <w:rPr>
          <w:bCs/>
          <w:iCs/>
          <w:sz w:val="22"/>
          <w:szCs w:val="22"/>
        </w:rPr>
        <w:t>Брокера</w:t>
      </w:r>
      <w:r w:rsidR="005D76B0" w:rsidRPr="00C12685">
        <w:rPr>
          <w:bCs/>
          <w:iCs/>
          <w:sz w:val="22"/>
          <w:szCs w:val="22"/>
        </w:rPr>
        <w:t xml:space="preserve">, в связи с чем </w:t>
      </w:r>
      <w:r w:rsidR="005D76B0">
        <w:rPr>
          <w:bCs/>
          <w:iCs/>
          <w:sz w:val="22"/>
          <w:szCs w:val="22"/>
        </w:rPr>
        <w:t>Заявитель</w:t>
      </w:r>
      <w:r w:rsidR="005D76B0" w:rsidRPr="00C12685">
        <w:rPr>
          <w:bCs/>
          <w:iCs/>
          <w:sz w:val="22"/>
          <w:szCs w:val="22"/>
        </w:rPr>
        <w:t xml:space="preserve"> поручает </w:t>
      </w:r>
      <w:r w:rsidR="005D76B0">
        <w:rPr>
          <w:bCs/>
          <w:iCs/>
          <w:sz w:val="22"/>
          <w:szCs w:val="22"/>
        </w:rPr>
        <w:t>Брокеру</w:t>
      </w:r>
      <w:r w:rsidR="005D76B0" w:rsidRPr="00C12685">
        <w:rPr>
          <w:bCs/>
          <w:iCs/>
          <w:sz w:val="22"/>
          <w:szCs w:val="22"/>
        </w:rPr>
        <w:t>: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обеспечить ведение клиринговой организацией, осуществляющих клиринг по сделкам, заключаемым в торговых системах, в которых </w:t>
      </w:r>
      <w:r w:rsidR="00B37084">
        <w:rPr>
          <w:bCs/>
          <w:iCs/>
          <w:sz w:val="22"/>
          <w:szCs w:val="22"/>
        </w:rPr>
        <w:t>Заявитель</w:t>
      </w:r>
      <w:r w:rsidRPr="002F4288">
        <w:rPr>
          <w:bCs/>
          <w:iCs/>
          <w:sz w:val="22"/>
          <w:szCs w:val="22"/>
        </w:rPr>
        <w:t xml:space="preserve"> зарегистрирован в качестве Инвестора (клиента Участника торгов), отдельного учета </w:t>
      </w:r>
      <w:r w:rsidR="00B37084">
        <w:rPr>
          <w:bCs/>
          <w:iCs/>
          <w:sz w:val="22"/>
          <w:szCs w:val="22"/>
        </w:rPr>
        <w:t>И</w:t>
      </w:r>
      <w:r w:rsidRPr="002F4288">
        <w:rPr>
          <w:bCs/>
          <w:iCs/>
          <w:sz w:val="22"/>
          <w:szCs w:val="22"/>
        </w:rPr>
        <w:t xml:space="preserve">мущества </w:t>
      </w:r>
      <w:r w:rsidR="00B37084">
        <w:rPr>
          <w:bCs/>
          <w:iCs/>
          <w:sz w:val="22"/>
          <w:szCs w:val="22"/>
        </w:rPr>
        <w:t>Заявителя</w:t>
      </w:r>
      <w:r w:rsidRPr="002F4288">
        <w:rPr>
          <w:bCs/>
          <w:iCs/>
          <w:sz w:val="22"/>
          <w:szCs w:val="22"/>
        </w:rPr>
        <w:t xml:space="preserve">, являющегося индивидуальным клиринговым обеспечением, которое не может быть использовано для обеспечения и (или) исполнения обязательств </w:t>
      </w:r>
      <w:r w:rsidR="00B37084">
        <w:rPr>
          <w:bCs/>
          <w:iCs/>
          <w:sz w:val="22"/>
          <w:szCs w:val="22"/>
        </w:rPr>
        <w:t>Брокера</w:t>
      </w:r>
      <w:r w:rsidRPr="002F4288">
        <w:rPr>
          <w:bCs/>
          <w:iCs/>
          <w:sz w:val="22"/>
          <w:szCs w:val="22"/>
        </w:rPr>
        <w:t xml:space="preserve">, подлежащих исполнению за счет других клиентов </w:t>
      </w:r>
      <w:r w:rsidR="00B37084">
        <w:rPr>
          <w:bCs/>
          <w:iCs/>
          <w:sz w:val="22"/>
          <w:szCs w:val="22"/>
        </w:rPr>
        <w:t>Брокера;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открыть в кредитных организациях отдельные </w:t>
      </w:r>
      <w:r w:rsidR="00B37084" w:rsidRPr="00A37236">
        <w:rPr>
          <w:bCs/>
          <w:iCs/>
          <w:sz w:val="22"/>
          <w:szCs w:val="22"/>
        </w:rPr>
        <w:t>специальн</w:t>
      </w:r>
      <w:r w:rsidR="00B37084">
        <w:rPr>
          <w:bCs/>
          <w:iCs/>
          <w:sz w:val="22"/>
          <w:szCs w:val="22"/>
        </w:rPr>
        <w:t>ые</w:t>
      </w:r>
      <w:r w:rsidR="00B37084" w:rsidRPr="00A37236">
        <w:rPr>
          <w:bCs/>
          <w:iCs/>
          <w:sz w:val="22"/>
          <w:szCs w:val="22"/>
        </w:rPr>
        <w:t xml:space="preserve"> брокерск</w:t>
      </w:r>
      <w:r w:rsidR="00B37084">
        <w:rPr>
          <w:bCs/>
          <w:iCs/>
          <w:sz w:val="22"/>
          <w:szCs w:val="22"/>
        </w:rPr>
        <w:t>ие</w:t>
      </w:r>
      <w:r w:rsidR="00B37084" w:rsidRPr="00A37236">
        <w:rPr>
          <w:bCs/>
          <w:iCs/>
          <w:sz w:val="22"/>
          <w:szCs w:val="22"/>
        </w:rPr>
        <w:t xml:space="preserve"> счета</w:t>
      </w:r>
      <w:r w:rsidRPr="002F4288">
        <w:rPr>
          <w:bCs/>
          <w:iCs/>
          <w:sz w:val="22"/>
          <w:szCs w:val="22"/>
        </w:rPr>
        <w:t xml:space="preserve"> и обеспечить их ведение для исполнения и (или) обеспечения исполнения обязательств, допущенных к клирингу и возникших из договоров, заключенных </w:t>
      </w:r>
      <w:r w:rsidR="00B37084">
        <w:rPr>
          <w:bCs/>
          <w:iCs/>
          <w:sz w:val="22"/>
          <w:szCs w:val="22"/>
        </w:rPr>
        <w:t>Брокером</w:t>
      </w:r>
      <w:r w:rsidRPr="002F4288">
        <w:rPr>
          <w:bCs/>
          <w:iCs/>
          <w:sz w:val="22"/>
          <w:szCs w:val="22"/>
        </w:rPr>
        <w:t xml:space="preserve"> за счет </w:t>
      </w:r>
      <w:r w:rsidR="00561D34">
        <w:rPr>
          <w:bCs/>
          <w:iCs/>
          <w:sz w:val="22"/>
          <w:szCs w:val="22"/>
        </w:rPr>
        <w:t>Заявителя</w:t>
      </w:r>
      <w:r w:rsidRPr="002F4288">
        <w:rPr>
          <w:bCs/>
          <w:iCs/>
          <w:sz w:val="22"/>
          <w:szCs w:val="22"/>
        </w:rPr>
        <w:t>;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открыть в расчетном депозитарии отдельный раздел счета депо и обеспечить его ведение для исполнения и (или) обеспечения исполнения обязательств, допущенных к клирингу и возникших из договоров, </w:t>
      </w:r>
      <w:r w:rsidR="00561D34">
        <w:rPr>
          <w:bCs/>
          <w:iCs/>
          <w:sz w:val="22"/>
          <w:szCs w:val="22"/>
        </w:rPr>
        <w:t>Брокером</w:t>
      </w:r>
      <w:r w:rsidR="00561D34" w:rsidRPr="002F4288">
        <w:rPr>
          <w:bCs/>
          <w:iCs/>
          <w:sz w:val="22"/>
          <w:szCs w:val="22"/>
        </w:rPr>
        <w:t xml:space="preserve"> за счет </w:t>
      </w:r>
      <w:r w:rsidR="00561D34">
        <w:rPr>
          <w:bCs/>
          <w:iCs/>
          <w:sz w:val="22"/>
          <w:szCs w:val="22"/>
        </w:rPr>
        <w:t>Заявителя.</w:t>
      </w:r>
    </w:p>
    <w:p w:rsidR="00561D34" w:rsidRPr="00A37236" w:rsidRDefault="00561D34" w:rsidP="00561D34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Заявитель уведомлён о необходимости оплаты Заявителем</w:t>
      </w:r>
      <w:r w:rsidRPr="00C12685">
        <w:rPr>
          <w:bCs/>
          <w:iCs/>
          <w:sz w:val="22"/>
          <w:szCs w:val="22"/>
        </w:rPr>
        <w:t xml:space="preserve"> стоимости услуги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по организации отдельного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и обязательств из сделок (договоров), заключаемых за счет </w:t>
      </w:r>
      <w:r>
        <w:rPr>
          <w:bCs/>
          <w:iCs/>
          <w:sz w:val="22"/>
          <w:szCs w:val="22"/>
        </w:rPr>
        <w:t>Заявителя,</w:t>
      </w:r>
      <w:r w:rsidRPr="00561D34">
        <w:rPr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а также возме</w:t>
      </w:r>
      <w:r>
        <w:rPr>
          <w:bCs/>
          <w:iCs/>
          <w:sz w:val="22"/>
          <w:szCs w:val="22"/>
        </w:rPr>
        <w:t>щения</w:t>
      </w:r>
      <w:r w:rsidRPr="00A37236">
        <w:rPr>
          <w:bCs/>
          <w:iCs/>
          <w:sz w:val="22"/>
          <w:szCs w:val="22"/>
        </w:rPr>
        <w:t xml:space="preserve"> в полном объеме все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понесенны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Брокером расход</w:t>
      </w:r>
      <w:r>
        <w:rPr>
          <w:bCs/>
          <w:iCs/>
          <w:sz w:val="22"/>
          <w:szCs w:val="22"/>
        </w:rPr>
        <w:t>ов</w:t>
      </w:r>
      <w:r w:rsidRPr="00A37236">
        <w:rPr>
          <w:bCs/>
          <w:iCs/>
          <w:sz w:val="22"/>
          <w:szCs w:val="22"/>
        </w:rPr>
        <w:t xml:space="preserve"> на открытие и (или) ведение </w:t>
      </w:r>
      <w:r>
        <w:rPr>
          <w:bCs/>
          <w:iCs/>
          <w:sz w:val="22"/>
          <w:szCs w:val="22"/>
        </w:rPr>
        <w:t xml:space="preserve">обособленных </w:t>
      </w:r>
      <w:r w:rsidRPr="00A37236">
        <w:rPr>
          <w:bCs/>
          <w:iCs/>
          <w:sz w:val="22"/>
          <w:szCs w:val="22"/>
        </w:rPr>
        <w:t>отдельн</w:t>
      </w:r>
      <w:r>
        <w:rPr>
          <w:bCs/>
          <w:iCs/>
          <w:sz w:val="22"/>
          <w:szCs w:val="22"/>
        </w:rPr>
        <w:t>ых</w:t>
      </w:r>
      <w:r w:rsidRPr="00A37236">
        <w:rPr>
          <w:bCs/>
          <w:iCs/>
          <w:sz w:val="22"/>
          <w:szCs w:val="22"/>
        </w:rPr>
        <w:t xml:space="preserve"> специальн</w:t>
      </w:r>
      <w:r>
        <w:rPr>
          <w:bCs/>
          <w:iCs/>
          <w:sz w:val="22"/>
          <w:szCs w:val="22"/>
        </w:rPr>
        <w:t>ых</w:t>
      </w:r>
      <w:r w:rsidRPr="00A37236">
        <w:rPr>
          <w:bCs/>
          <w:iCs/>
          <w:sz w:val="22"/>
          <w:szCs w:val="22"/>
        </w:rPr>
        <w:t xml:space="preserve"> брокерск</w:t>
      </w:r>
      <w:r>
        <w:rPr>
          <w:bCs/>
          <w:iCs/>
          <w:sz w:val="22"/>
          <w:szCs w:val="22"/>
        </w:rPr>
        <w:t>их</w:t>
      </w:r>
      <w:r w:rsidRPr="00A37236">
        <w:rPr>
          <w:bCs/>
          <w:iCs/>
          <w:sz w:val="22"/>
          <w:szCs w:val="22"/>
        </w:rPr>
        <w:t xml:space="preserve"> счета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в кредитных организациях.</w:t>
      </w:r>
    </w:p>
    <w:p w:rsidR="005F30F5" w:rsidRDefault="005F30F5" w:rsidP="0030194C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FC513F" w:rsidRPr="00A37236" w:rsidRDefault="00F57D6D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</w:t>
      </w:r>
      <w:r w:rsidR="00F6569C" w:rsidRPr="00A37236">
        <w:rPr>
          <w:bCs/>
          <w:iCs/>
          <w:sz w:val="22"/>
          <w:szCs w:val="22"/>
        </w:rPr>
        <w:t xml:space="preserve">б </w:t>
      </w:r>
      <w:r w:rsidRPr="00A37236">
        <w:rPr>
          <w:bCs/>
          <w:iCs/>
          <w:sz w:val="22"/>
          <w:szCs w:val="22"/>
        </w:rPr>
        <w:t>акцепте Регламента в порядке, предусмотренном ст. 428 Гражданского Кодекса Российской Федерации.</w:t>
      </w:r>
      <w:r w:rsidR="00F6569C" w:rsidRPr="00A37236">
        <w:rPr>
          <w:bCs/>
          <w:iCs/>
          <w:sz w:val="22"/>
          <w:szCs w:val="22"/>
        </w:rPr>
        <w:t xml:space="preserve"> Настоящим подтверждаю, что</w:t>
      </w:r>
      <w:r w:rsidR="007004DD">
        <w:rPr>
          <w:bCs/>
          <w:iCs/>
          <w:sz w:val="22"/>
          <w:szCs w:val="22"/>
        </w:rPr>
        <w:t xml:space="preserve"> </w:t>
      </w:r>
      <w:r w:rsidR="00F6569C" w:rsidRPr="00A37236">
        <w:rPr>
          <w:bCs/>
          <w:iCs/>
          <w:sz w:val="22"/>
          <w:szCs w:val="22"/>
        </w:rPr>
        <w:t>с содержанием</w:t>
      </w:r>
      <w:r w:rsidR="007004DD">
        <w:rPr>
          <w:bCs/>
          <w:iCs/>
          <w:sz w:val="22"/>
          <w:szCs w:val="22"/>
        </w:rPr>
        <w:t xml:space="preserve"> Приложения к настоящему Заявлению,</w:t>
      </w:r>
      <w:r w:rsidR="00F6569C" w:rsidRPr="00A37236">
        <w:rPr>
          <w:bCs/>
          <w:iCs/>
          <w:sz w:val="22"/>
          <w:szCs w:val="22"/>
        </w:rPr>
        <w:t xml:space="preserve"> </w:t>
      </w:r>
      <w:r w:rsidR="007004DD">
        <w:rPr>
          <w:bCs/>
          <w:iCs/>
          <w:sz w:val="22"/>
          <w:szCs w:val="22"/>
        </w:rPr>
        <w:t xml:space="preserve">содержанием </w:t>
      </w:r>
      <w:r w:rsidR="00F6569C" w:rsidRPr="00A37236">
        <w:rPr>
          <w:bCs/>
          <w:iCs/>
          <w:sz w:val="22"/>
          <w:szCs w:val="22"/>
        </w:rPr>
        <w:t>Регламента</w:t>
      </w:r>
      <w:r w:rsidR="007004DD">
        <w:rPr>
          <w:bCs/>
          <w:iCs/>
          <w:sz w:val="22"/>
          <w:szCs w:val="22"/>
        </w:rPr>
        <w:t xml:space="preserve"> и</w:t>
      </w:r>
      <w:r w:rsidR="00F6569C" w:rsidRPr="00A37236">
        <w:rPr>
          <w:bCs/>
          <w:iCs/>
          <w:sz w:val="22"/>
          <w:szCs w:val="22"/>
        </w:rPr>
        <w:t xml:space="preserve"> всех приложений к нему ознакомлен и согласен</w:t>
      </w:r>
      <w:r w:rsidR="006A3E8F">
        <w:rPr>
          <w:bCs/>
          <w:iCs/>
          <w:sz w:val="22"/>
          <w:szCs w:val="22"/>
        </w:rPr>
        <w:t>.</w:t>
      </w:r>
      <w:r w:rsidR="00F6569C" w:rsidRPr="00A37236">
        <w:rPr>
          <w:bCs/>
          <w:iCs/>
          <w:sz w:val="22"/>
          <w:szCs w:val="22"/>
        </w:rPr>
        <w:t xml:space="preserve"> </w:t>
      </w:r>
      <w:r w:rsidR="006A3E8F">
        <w:rPr>
          <w:bCs/>
          <w:iCs/>
          <w:sz w:val="22"/>
          <w:szCs w:val="22"/>
        </w:rPr>
        <w:t>И</w:t>
      </w:r>
      <w:r w:rsidR="00F6569C" w:rsidRPr="00A37236">
        <w:rPr>
          <w:bCs/>
          <w:iCs/>
          <w:sz w:val="22"/>
          <w:szCs w:val="22"/>
        </w:rPr>
        <w:t>х условия</w:t>
      </w:r>
      <w:r w:rsidR="00FC513F" w:rsidRPr="00A37236">
        <w:rPr>
          <w:bCs/>
          <w:iCs/>
          <w:sz w:val="22"/>
          <w:szCs w:val="22"/>
        </w:rPr>
        <w:t xml:space="preserve"> </w:t>
      </w:r>
      <w:r w:rsidR="00C428D6" w:rsidRPr="00A37236">
        <w:rPr>
          <w:bCs/>
          <w:iCs/>
          <w:sz w:val="22"/>
          <w:szCs w:val="22"/>
        </w:rPr>
        <w:t xml:space="preserve">мне </w:t>
      </w:r>
      <w:r w:rsidR="00FC513F" w:rsidRPr="00A37236">
        <w:rPr>
          <w:bCs/>
          <w:iCs/>
          <w:sz w:val="22"/>
          <w:szCs w:val="22"/>
        </w:rPr>
        <w:t xml:space="preserve">разъяснены в полном объёме, </w:t>
      </w:r>
      <w:r w:rsidR="00C428D6" w:rsidRPr="00A37236">
        <w:rPr>
          <w:bCs/>
          <w:iCs/>
          <w:sz w:val="22"/>
          <w:szCs w:val="22"/>
        </w:rPr>
        <w:t xml:space="preserve">и имеют для меня обязательную юридическую силу, принимаю на себя обязательства следовать положениям Регламента. Прошу </w:t>
      </w:r>
      <w:r w:rsidR="008B74CA" w:rsidRPr="00A37236">
        <w:rPr>
          <w:bCs/>
          <w:iCs/>
          <w:sz w:val="22"/>
          <w:szCs w:val="22"/>
        </w:rPr>
        <w:t>Брокера</w:t>
      </w:r>
      <w:r w:rsidR="00C428D6" w:rsidRPr="00A37236">
        <w:rPr>
          <w:bCs/>
          <w:iCs/>
          <w:sz w:val="22"/>
          <w:szCs w:val="22"/>
        </w:rPr>
        <w:t xml:space="preserve">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A37236">
        <w:rPr>
          <w:bCs/>
          <w:iCs/>
          <w:sz w:val="22"/>
          <w:szCs w:val="22"/>
        </w:rPr>
        <w:t xml:space="preserve">Настоящим подтверждаю, что поставлен в известность о совмещении </w:t>
      </w:r>
      <w:r w:rsidR="00C62C26" w:rsidRPr="00A37236">
        <w:rPr>
          <w:bCs/>
          <w:iCs/>
          <w:sz w:val="22"/>
          <w:szCs w:val="22"/>
        </w:rPr>
        <w:t>ООО «ИК «ФИНПРОИНВЕСТ»</w:t>
      </w:r>
      <w:r w:rsidR="00FC513F" w:rsidRPr="00A37236">
        <w:rPr>
          <w:bCs/>
          <w:iCs/>
          <w:sz w:val="22"/>
          <w:szCs w:val="22"/>
        </w:rPr>
        <w:t xml:space="preserve"> брокерской деятельности с иными видами профессиональной деятельности на рынке ценных бумаг.</w:t>
      </w:r>
    </w:p>
    <w:p w:rsidR="007173E7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FC513F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- </w:t>
      </w:r>
      <w:r w:rsidR="00FC513F" w:rsidRPr="00A37236">
        <w:rPr>
          <w:bCs/>
          <w:iCs/>
          <w:sz w:val="22"/>
          <w:szCs w:val="22"/>
        </w:rPr>
        <w:t xml:space="preserve">уведомлен о праве на получение от </w:t>
      </w:r>
      <w:r w:rsidR="008B74CA" w:rsidRPr="00A37236">
        <w:rPr>
          <w:bCs/>
          <w:iCs/>
          <w:sz w:val="22"/>
          <w:szCs w:val="22"/>
        </w:rPr>
        <w:t>Брокера</w:t>
      </w:r>
      <w:r w:rsidR="00FC513F" w:rsidRPr="00A37236">
        <w:rPr>
          <w:bCs/>
          <w:iCs/>
          <w:sz w:val="22"/>
          <w:szCs w:val="22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</w:t>
      </w:r>
      <w:r w:rsidRPr="00A37236">
        <w:rPr>
          <w:bCs/>
          <w:iCs/>
          <w:sz w:val="22"/>
          <w:szCs w:val="22"/>
        </w:rPr>
        <w:t>;</w:t>
      </w:r>
    </w:p>
    <w:p w:rsidR="00C51A2F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="00C51A2F" w:rsidRPr="00A37236">
        <w:rPr>
          <w:rFonts w:hint="eastAsia"/>
          <w:bCs/>
          <w:iCs/>
          <w:sz w:val="22"/>
          <w:szCs w:val="22"/>
        </w:rPr>
        <w:t>ведомлен</w:t>
      </w:r>
      <w:r w:rsidR="00C51A2F" w:rsidRPr="00A37236">
        <w:rPr>
          <w:bCs/>
          <w:iCs/>
          <w:sz w:val="22"/>
          <w:szCs w:val="22"/>
        </w:rPr>
        <w:t xml:space="preserve"> о </w:t>
      </w:r>
      <w:r w:rsidR="008B74CA" w:rsidRPr="00A37236">
        <w:rPr>
          <w:bCs/>
          <w:iCs/>
          <w:sz w:val="22"/>
          <w:szCs w:val="22"/>
        </w:rPr>
        <w:t>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</w:t>
      </w:r>
      <w:r w:rsidR="00C51A2F" w:rsidRPr="00A37236">
        <w:rPr>
          <w:bCs/>
          <w:iCs/>
          <w:sz w:val="22"/>
          <w:szCs w:val="22"/>
        </w:rPr>
        <w:t xml:space="preserve"> и об ответственности за манипулирование рынком и неправомерное исполь</w:t>
      </w:r>
      <w:r w:rsidR="00165C6C">
        <w:rPr>
          <w:bCs/>
          <w:iCs/>
          <w:sz w:val="22"/>
          <w:szCs w:val="22"/>
        </w:rPr>
        <w:t>зование инсайдерской информации;</w:t>
      </w:r>
    </w:p>
    <w:p w:rsidR="00165C6C" w:rsidRPr="00CE5B62" w:rsidRDefault="00165C6C" w:rsidP="002A18AD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CE5B62">
        <w:rPr>
          <w:bCs/>
          <w:iCs/>
          <w:color w:val="000000" w:themeColor="text1"/>
          <w:sz w:val="22"/>
          <w:szCs w:val="22"/>
        </w:rPr>
        <w:t xml:space="preserve">- </w:t>
      </w:r>
      <w:r w:rsidRPr="009114D9">
        <w:rPr>
          <w:bCs/>
          <w:iCs/>
          <w:sz w:val="22"/>
          <w:szCs w:val="22"/>
        </w:rPr>
        <w:t>уведомлён о наличии у Брокера информационных документов</w:t>
      </w:r>
      <w:r w:rsidR="00243570" w:rsidRPr="009114D9">
        <w:rPr>
          <w:bCs/>
          <w:iCs/>
          <w:sz w:val="22"/>
          <w:szCs w:val="22"/>
        </w:rPr>
        <w:t xml:space="preserve"> в отношении</w:t>
      </w:r>
      <w:r w:rsidRPr="009114D9">
        <w:rPr>
          <w:bCs/>
          <w:iCs/>
          <w:sz w:val="22"/>
          <w:szCs w:val="22"/>
        </w:rPr>
        <w:t xml:space="preserve"> </w:t>
      </w:r>
      <w:r w:rsidR="009114D9" w:rsidRPr="009114D9">
        <w:rPr>
          <w:bCs/>
          <w:iCs/>
          <w:sz w:val="22"/>
          <w:szCs w:val="22"/>
        </w:rPr>
        <w:t>финансовых инструментов</w:t>
      </w:r>
      <w:r w:rsidR="00E07FE5">
        <w:rPr>
          <w:bCs/>
          <w:iCs/>
          <w:sz w:val="22"/>
          <w:szCs w:val="22"/>
        </w:rPr>
        <w:t>,</w:t>
      </w:r>
      <w:r w:rsidR="00243570" w:rsidRPr="009114D9">
        <w:rPr>
          <w:bCs/>
          <w:iCs/>
          <w:sz w:val="22"/>
          <w:szCs w:val="22"/>
        </w:rPr>
        <w:t xml:space="preserve"> озн</w:t>
      </w:r>
      <w:r w:rsidR="00243570" w:rsidRPr="00CE5B62">
        <w:rPr>
          <w:bCs/>
          <w:iCs/>
          <w:color w:val="000000" w:themeColor="text1"/>
          <w:sz w:val="22"/>
          <w:szCs w:val="22"/>
        </w:rPr>
        <w:t>акомление с которыми в разделе «</w:t>
      </w:r>
      <w:r w:rsidR="00FC0C70" w:rsidRPr="00CE5B62">
        <w:rPr>
          <w:bCs/>
          <w:iCs/>
          <w:color w:val="000000" w:themeColor="text1"/>
          <w:sz w:val="22"/>
          <w:szCs w:val="22"/>
        </w:rPr>
        <w:t>Раскрытие</w:t>
      </w:r>
      <w:r w:rsidR="00243570" w:rsidRPr="00CE5B62">
        <w:rPr>
          <w:bCs/>
          <w:iCs/>
          <w:color w:val="000000" w:themeColor="text1"/>
          <w:sz w:val="22"/>
          <w:szCs w:val="22"/>
        </w:rPr>
        <w:t xml:space="preserve"> информации - Брокерская деятельность» на официальном сайте Брокера в сети «Интернет» по адресу </w:t>
      </w:r>
      <w:hyperlink r:id="rId7" w:history="1">
        <w:r w:rsidR="00243570" w:rsidRPr="00CE5B62">
          <w:rPr>
            <w:rStyle w:val="af4"/>
            <w:bCs/>
            <w:iCs/>
            <w:color w:val="000000" w:themeColor="text1"/>
            <w:sz w:val="22"/>
            <w:szCs w:val="22"/>
          </w:rPr>
          <w:t>https://www.finproinvest.ru/raskrytie-informatsii/</w:t>
        </w:r>
      </w:hyperlink>
      <w:r w:rsidR="00243570" w:rsidRPr="00CE5B62">
        <w:rPr>
          <w:bCs/>
          <w:iCs/>
          <w:color w:val="000000" w:themeColor="text1"/>
          <w:sz w:val="22"/>
          <w:szCs w:val="22"/>
        </w:rPr>
        <w:t>, мне рекомендовано до начала подачи поручений.</w:t>
      </w:r>
    </w:p>
    <w:p w:rsidR="007173E7" w:rsidRPr="00A37236" w:rsidRDefault="007173E7" w:rsidP="007173E7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2B09D6" w:rsidRPr="00A37236" w:rsidRDefault="00421C3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 свое согласие и предоставляю </w:t>
      </w:r>
      <w:r w:rsidR="007173E7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 право совершать (подписывать) </w:t>
      </w:r>
      <w:r w:rsidR="00D0000F" w:rsidRPr="00A37236">
        <w:rPr>
          <w:bCs/>
          <w:iCs/>
          <w:sz w:val="22"/>
          <w:szCs w:val="22"/>
        </w:rPr>
        <w:t>от</w:t>
      </w:r>
      <w:r w:rsidR="007173E7" w:rsidRPr="00A37236">
        <w:rPr>
          <w:bCs/>
          <w:iCs/>
          <w:sz w:val="22"/>
          <w:szCs w:val="22"/>
        </w:rPr>
        <w:t xml:space="preserve"> моего</w:t>
      </w:r>
      <w:r w:rsidR="00D0000F" w:rsidRPr="00A37236">
        <w:rPr>
          <w:bCs/>
          <w:iCs/>
          <w:sz w:val="22"/>
          <w:szCs w:val="22"/>
        </w:rPr>
        <w:t xml:space="preserve"> имени и за</w:t>
      </w:r>
      <w:r w:rsidR="007173E7" w:rsidRPr="00A37236">
        <w:rPr>
          <w:bCs/>
          <w:iCs/>
          <w:sz w:val="22"/>
          <w:szCs w:val="22"/>
        </w:rPr>
        <w:t xml:space="preserve"> мой</w:t>
      </w:r>
      <w:r w:rsidR="00D0000F" w:rsidRPr="00A37236">
        <w:rPr>
          <w:bCs/>
          <w:iCs/>
          <w:sz w:val="22"/>
          <w:szCs w:val="22"/>
        </w:rPr>
        <w:t xml:space="preserve"> счет сделки с ценными бумагами (в том числе сделки репо), </w:t>
      </w:r>
      <w:r w:rsidR="00702867" w:rsidRPr="00A37236">
        <w:rPr>
          <w:bCs/>
          <w:iCs/>
          <w:sz w:val="22"/>
          <w:szCs w:val="22"/>
        </w:rPr>
        <w:t xml:space="preserve">сделки с иностранной валютой </w:t>
      </w:r>
      <w:r w:rsidR="00D0000F" w:rsidRPr="00A37236">
        <w:rPr>
          <w:bCs/>
          <w:iCs/>
          <w:sz w:val="22"/>
          <w:szCs w:val="22"/>
        </w:rPr>
        <w:t xml:space="preserve">на основании поручений (заявок), поданных </w:t>
      </w:r>
      <w:r w:rsidR="007173E7" w:rsidRPr="00A37236">
        <w:rPr>
          <w:bCs/>
          <w:iCs/>
          <w:sz w:val="22"/>
          <w:szCs w:val="22"/>
        </w:rPr>
        <w:t>мною Брокеру</w:t>
      </w:r>
      <w:r w:rsidR="00D0000F" w:rsidRPr="00A37236">
        <w:rPr>
          <w:bCs/>
          <w:iCs/>
          <w:sz w:val="22"/>
          <w:szCs w:val="22"/>
        </w:rPr>
        <w:t xml:space="preserve"> способами, предусмотренными Регламентом, приложениями к Регламенту, соглашениями, заключенными с </w:t>
      </w:r>
      <w:r w:rsidR="00A37236" w:rsidRPr="00A37236">
        <w:rPr>
          <w:bCs/>
          <w:iCs/>
          <w:sz w:val="22"/>
          <w:szCs w:val="22"/>
        </w:rPr>
        <w:t>Брокером</w:t>
      </w:r>
      <w:r w:rsidR="00D0000F" w:rsidRPr="00A37236">
        <w:rPr>
          <w:bCs/>
          <w:iCs/>
          <w:sz w:val="22"/>
          <w:szCs w:val="22"/>
        </w:rPr>
        <w:t>, одновременно являясь коммерческим представителем разных сторон в сделке, в том числе не являющихся предпринимателями. Настоящим уполномочива</w:t>
      </w:r>
      <w:r w:rsidR="00A37236" w:rsidRPr="00A37236">
        <w:rPr>
          <w:bCs/>
          <w:iCs/>
          <w:sz w:val="22"/>
          <w:szCs w:val="22"/>
        </w:rPr>
        <w:t>ю</w:t>
      </w:r>
      <w:r w:rsidR="00D0000F" w:rsidRPr="00A37236">
        <w:rPr>
          <w:bCs/>
          <w:iCs/>
          <w:sz w:val="22"/>
          <w:szCs w:val="22"/>
        </w:rPr>
        <w:t xml:space="preserve"> </w:t>
      </w:r>
      <w:r w:rsidR="00A37236" w:rsidRPr="00A37236">
        <w:rPr>
          <w:bCs/>
          <w:iCs/>
          <w:sz w:val="22"/>
          <w:szCs w:val="22"/>
        </w:rPr>
        <w:t>Брокера</w:t>
      </w:r>
      <w:r w:rsidR="00D0000F" w:rsidRPr="00A37236">
        <w:rPr>
          <w:bCs/>
          <w:iCs/>
          <w:sz w:val="22"/>
          <w:szCs w:val="22"/>
        </w:rPr>
        <w:t xml:space="preserve"> на совершение от </w:t>
      </w:r>
      <w:r w:rsidR="00A37236" w:rsidRPr="00A37236">
        <w:rPr>
          <w:bCs/>
          <w:iCs/>
          <w:sz w:val="22"/>
          <w:szCs w:val="22"/>
        </w:rPr>
        <w:t xml:space="preserve">своего </w:t>
      </w:r>
      <w:r w:rsidR="00D0000F" w:rsidRPr="00A37236">
        <w:rPr>
          <w:bCs/>
          <w:iCs/>
          <w:sz w:val="22"/>
          <w:szCs w:val="22"/>
        </w:rPr>
        <w:t>имени и за</w:t>
      </w:r>
      <w:r w:rsidR="00A37236" w:rsidRPr="00A37236">
        <w:rPr>
          <w:bCs/>
          <w:iCs/>
          <w:sz w:val="22"/>
          <w:szCs w:val="22"/>
        </w:rPr>
        <w:t xml:space="preserve"> свой</w:t>
      </w:r>
      <w:r w:rsidR="00D0000F" w:rsidRPr="00A37236">
        <w:rPr>
          <w:bCs/>
          <w:iCs/>
          <w:sz w:val="22"/>
          <w:szCs w:val="22"/>
        </w:rPr>
        <w:t xml:space="preserve"> счет всех юридических и фактических действий, необходимых для исполнения </w:t>
      </w:r>
      <w:r w:rsidR="00A37236" w:rsidRPr="00A37236">
        <w:rPr>
          <w:bCs/>
          <w:iCs/>
          <w:sz w:val="22"/>
          <w:szCs w:val="22"/>
        </w:rPr>
        <w:t xml:space="preserve">поданных мною </w:t>
      </w:r>
      <w:r w:rsidR="00D0000F" w:rsidRPr="00A37236">
        <w:rPr>
          <w:bCs/>
          <w:iCs/>
          <w:sz w:val="22"/>
          <w:szCs w:val="22"/>
        </w:rPr>
        <w:t>поручени</w:t>
      </w:r>
      <w:r w:rsidR="00A37236" w:rsidRPr="00A37236">
        <w:rPr>
          <w:bCs/>
          <w:iCs/>
          <w:sz w:val="22"/>
          <w:szCs w:val="22"/>
        </w:rPr>
        <w:t>й</w:t>
      </w:r>
      <w:r w:rsidR="00D0000F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к), сдел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к, заключенн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на основании указанн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поручени</w:t>
      </w:r>
      <w:r w:rsidR="00A37236" w:rsidRPr="00A37236">
        <w:rPr>
          <w:bCs/>
          <w:iCs/>
          <w:sz w:val="22"/>
          <w:szCs w:val="22"/>
        </w:rPr>
        <w:t>й</w:t>
      </w:r>
      <w:r w:rsidR="00F52B1B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F52B1B" w:rsidRPr="00A37236">
        <w:rPr>
          <w:bCs/>
          <w:iCs/>
          <w:sz w:val="22"/>
          <w:szCs w:val="22"/>
        </w:rPr>
        <w:t>к</w:t>
      </w:r>
      <w:r w:rsidR="00A37236" w:rsidRPr="00A37236">
        <w:rPr>
          <w:bCs/>
          <w:iCs/>
          <w:sz w:val="22"/>
          <w:szCs w:val="22"/>
        </w:rPr>
        <w:t>).</w:t>
      </w:r>
    </w:p>
    <w:p w:rsidR="00F2332A" w:rsidRPr="00A37236" w:rsidRDefault="00187799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подтверждаю, что программное обеспечение системы «QUIK» мной получено от </w:t>
      </w:r>
      <w:r w:rsidR="00A37236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>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C53558" w:rsidRPr="00A37236" w:rsidRDefault="00C53558" w:rsidP="009C011B">
      <w:pPr>
        <w:rPr>
          <w:sz w:val="22"/>
          <w:szCs w:val="22"/>
        </w:rPr>
      </w:pPr>
    </w:p>
    <w:p w:rsidR="002253B4" w:rsidRPr="00A37236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К</w:t>
      </w:r>
      <w:r w:rsidR="002568C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лиент ____________________ 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/ ___________________________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/</w:t>
      </w:r>
    </w:p>
    <w:p w:rsidR="002253B4" w:rsidRPr="00A37236" w:rsidRDefault="002253B4" w:rsidP="009C011B">
      <w:pPr>
        <w:pStyle w:val="a4"/>
        <w:tabs>
          <w:tab w:val="left" w:pos="3544"/>
        </w:tabs>
        <w:ind w:firstLine="851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(подпись)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(фамилия, инициалы)</w:t>
      </w:r>
    </w:p>
    <w:p w:rsidR="002253B4" w:rsidRPr="00A37236" w:rsidRDefault="002253B4" w:rsidP="009C011B">
      <w:pPr>
        <w:rPr>
          <w:sz w:val="22"/>
          <w:szCs w:val="22"/>
        </w:rPr>
      </w:pPr>
    </w:p>
    <w:p w:rsidR="002568C6" w:rsidRDefault="002568C6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«____» _______________ 20___ г.</w:t>
      </w:r>
      <w:r w:rsidR="006856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7004DD" w:rsidRDefault="007004DD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7004DD" w:rsidRDefault="000405C4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iCs w:val="0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09030" cy="902970"/>
                <wp:effectExtent l="5080" t="13335" r="5715" b="762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DD" w:rsidRDefault="007004DD" w:rsidP="007004D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</w:pPr>
                            <w:r w:rsidRPr="00F2332A"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  <w:t>Для служебных отметок</w:t>
                            </w:r>
                            <w: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004DD" w:rsidRPr="00F2332A" w:rsidRDefault="007004DD" w:rsidP="007004D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04DD" w:rsidRPr="000B186F" w:rsidRDefault="007004DD" w:rsidP="007004DD">
                            <w:pP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Дата принятия заявления «____»____________20</w:t>
                            </w:r>
                            <w:r w:rsidRPr="000B186F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__г.</w:t>
                            </w:r>
                          </w:p>
                          <w:p w:rsidR="007004DD" w:rsidRDefault="007004DD" w:rsidP="007004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</w:pPr>
                          </w:p>
                          <w:p w:rsidR="007004DD" w:rsidRPr="00AF4ABD" w:rsidRDefault="007004DD" w:rsidP="007004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</w:pPr>
                            <w:r w:rsidRPr="00AF4ABD"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Подпись Сотрудника __________________________/______________________</w:t>
                            </w:r>
                            <w:r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Pr="00AF4ABD"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_/</w:t>
                            </w:r>
                          </w:p>
                          <w:p w:rsidR="007004DD" w:rsidRDefault="007004DD" w:rsidP="007004DD">
                            <w:pPr>
                              <w:ind w:firstLine="5670"/>
                            </w:pPr>
                            <w:r w:rsidRPr="00F2332A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(фамилия,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332A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488.9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">
                <v:textbox>
                  <w:txbxContent>
                    <w:p w:rsidR="007004DD" w:rsidRDefault="007004DD" w:rsidP="007004D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</w:pPr>
                      <w:r w:rsidRPr="00F2332A"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  <w:t>Для служебных отметок</w:t>
                      </w:r>
                      <w: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004DD" w:rsidRPr="00F2332A" w:rsidRDefault="007004DD" w:rsidP="007004D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</w:pPr>
                    </w:p>
                    <w:p w:rsidR="007004DD" w:rsidRPr="000B186F" w:rsidRDefault="007004DD" w:rsidP="007004DD">
                      <w:pPr>
                        <w:rPr>
                          <w:rFonts w:eastAsia="TimesNewRomanPSMT"/>
                          <w:sz w:val="16"/>
                          <w:szCs w:val="16"/>
                        </w:rPr>
                      </w:pP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Дата принятия заявления «___</w:t>
                      </w:r>
                      <w:proofErr w:type="gramStart"/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_»_</w:t>
                      </w:r>
                      <w:proofErr w:type="gramEnd"/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___________20</w:t>
                      </w:r>
                      <w:r w:rsidRPr="000B186F">
                        <w:rPr>
                          <w:rFonts w:eastAsia="TimesNewRomanPSMT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__г.</w:t>
                      </w:r>
                    </w:p>
                    <w:p w:rsidR="007004DD" w:rsidRDefault="007004DD" w:rsidP="007004D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</w:rPr>
                      </w:pPr>
                    </w:p>
                    <w:p w:rsidR="007004DD" w:rsidRPr="00AF4ABD" w:rsidRDefault="007004DD" w:rsidP="007004D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</w:rPr>
                      </w:pPr>
                      <w:r w:rsidRPr="00AF4ABD">
                        <w:rPr>
                          <w:rFonts w:eastAsia="TimesNewRomanPSMT"/>
                          <w:sz w:val="18"/>
                          <w:szCs w:val="18"/>
                        </w:rPr>
                        <w:t>Подпись Сотрудника __________________________/______________________</w:t>
                      </w:r>
                      <w:r>
                        <w:rPr>
                          <w:rFonts w:eastAsia="TimesNewRomanPSMT"/>
                          <w:sz w:val="18"/>
                          <w:szCs w:val="18"/>
                        </w:rPr>
                        <w:t>_________________________________</w:t>
                      </w:r>
                      <w:r w:rsidRPr="00AF4ABD">
                        <w:rPr>
                          <w:rFonts w:eastAsia="TimesNewRomanPSMT"/>
                          <w:sz w:val="18"/>
                          <w:szCs w:val="18"/>
                        </w:rPr>
                        <w:t>_/</w:t>
                      </w:r>
                    </w:p>
                    <w:p w:rsidR="007004DD" w:rsidRDefault="007004DD" w:rsidP="007004DD">
                      <w:pPr>
                        <w:ind w:firstLine="5670"/>
                      </w:pPr>
                      <w:r w:rsidRPr="00F2332A">
                        <w:rPr>
                          <w:rFonts w:eastAsia="TimesNewRomanPSMT"/>
                          <w:sz w:val="16"/>
                          <w:szCs w:val="16"/>
                        </w:rPr>
                        <w:t>(фамилия,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 xml:space="preserve"> </w:t>
                      </w:r>
                      <w:r w:rsidRPr="00F2332A">
                        <w:rPr>
                          <w:rFonts w:eastAsia="TimesNewRomanPSMT"/>
                          <w:sz w:val="16"/>
                          <w:szCs w:val="16"/>
                        </w:rPr>
                        <w:t>инициалы)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0B63" w:rsidRDefault="00920B63">
      <w:pPr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:rsidR="00920B63" w:rsidRDefault="00920B63" w:rsidP="00920B63">
      <w:pPr>
        <w:jc w:val="right"/>
        <w:rPr>
          <w:bCs/>
        </w:rPr>
      </w:pPr>
      <w:r w:rsidRPr="009E130B">
        <w:rPr>
          <w:bCs/>
        </w:rPr>
        <w:lastRenderedPageBreak/>
        <w:t>Приложение</w:t>
      </w:r>
    </w:p>
    <w:p w:rsidR="00920B63" w:rsidRDefault="00920B63" w:rsidP="00920B63">
      <w:pPr>
        <w:jc w:val="right"/>
      </w:pPr>
      <w:r>
        <w:t xml:space="preserve">к </w:t>
      </w:r>
      <w:r w:rsidRPr="000C7544">
        <w:t>Заявлени</w:t>
      </w:r>
      <w:r>
        <w:t>ю</w:t>
      </w:r>
      <w:r w:rsidRPr="000C7544">
        <w:t xml:space="preserve"> о присоединении</w:t>
      </w:r>
    </w:p>
    <w:p w:rsidR="00920B63" w:rsidRDefault="00920B63" w:rsidP="00920B63">
      <w:pPr>
        <w:jc w:val="right"/>
      </w:pPr>
      <w:r>
        <w:t xml:space="preserve">к </w:t>
      </w:r>
      <w:r w:rsidRPr="000C7544">
        <w:t>Регламенту оказания</w:t>
      </w:r>
    </w:p>
    <w:p w:rsidR="00920B63" w:rsidRDefault="00920B63" w:rsidP="00920B63">
      <w:pPr>
        <w:jc w:val="right"/>
      </w:pPr>
      <w:r w:rsidRPr="000C7544">
        <w:t>брокерских услуг</w:t>
      </w:r>
    </w:p>
    <w:p w:rsidR="00920B63" w:rsidRPr="009E130B" w:rsidRDefault="00920B63" w:rsidP="00920B63">
      <w:pPr>
        <w:jc w:val="right"/>
        <w:rPr>
          <w:bCs/>
        </w:rPr>
      </w:pPr>
      <w:r w:rsidRPr="000C7544">
        <w:t>на рынке ценных бумаг</w:t>
      </w: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ED2DDB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9263C5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4A4293" w:rsidRDefault="00920B63" w:rsidP="00920B63">
      <w:pPr>
        <w:tabs>
          <w:tab w:val="center" w:pos="5102"/>
          <w:tab w:val="left" w:pos="6345"/>
        </w:tabs>
        <w:rPr>
          <w:sz w:val="44"/>
          <w:szCs w:val="44"/>
        </w:rPr>
      </w:pPr>
      <w:r w:rsidRPr="004A4293">
        <w:rPr>
          <w:sz w:val="44"/>
          <w:szCs w:val="44"/>
        </w:rPr>
        <w:t>Информационный документ</w:t>
      </w:r>
    </w:p>
    <w:p w:rsidR="00920B63" w:rsidRPr="004A4293" w:rsidRDefault="00920B63" w:rsidP="00920B63">
      <w:pPr>
        <w:tabs>
          <w:tab w:val="center" w:pos="5102"/>
          <w:tab w:val="left" w:pos="6345"/>
        </w:tabs>
        <w:rPr>
          <w:sz w:val="44"/>
          <w:szCs w:val="44"/>
        </w:rPr>
      </w:pPr>
      <w:r w:rsidRPr="004A4293">
        <w:rPr>
          <w:sz w:val="44"/>
          <w:szCs w:val="44"/>
        </w:rPr>
        <w:t>о сути заключения брокерского договора между ООО «ИК «ФИНПРОИНВЕСТ» и Клиентом</w:t>
      </w: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adjustRightInd w:val="0"/>
        <w:ind w:firstLine="709"/>
        <w:jc w:val="both"/>
      </w:pPr>
    </w:p>
    <w:p w:rsidR="00920B63" w:rsidRDefault="00920B63" w:rsidP="00920B63">
      <w:pPr>
        <w:adjustRightInd w:val="0"/>
        <w:ind w:firstLine="709"/>
        <w:jc w:val="both"/>
        <w:sectPr w:rsidR="00920B63" w:rsidSect="00367F2B">
          <w:footerReference w:type="first" r:id="rId8"/>
          <w:pgSz w:w="11906" w:h="16838"/>
          <w:pgMar w:top="567" w:right="567" w:bottom="567" w:left="1418" w:header="0" w:footer="459" w:gutter="0"/>
          <w:cols w:space="709"/>
          <w:titlePg/>
          <w:docGrid w:linePitch="272"/>
        </w:sectPr>
      </w:pPr>
    </w:p>
    <w:p w:rsidR="00763C9A" w:rsidRPr="00763C9A" w:rsidRDefault="00920B63" w:rsidP="00763C9A">
      <w:pPr>
        <w:adjustRightInd w:val="0"/>
        <w:ind w:firstLine="709"/>
        <w:jc w:val="both"/>
      </w:pPr>
      <w:r w:rsidRPr="00AE7456">
        <w:lastRenderedPageBreak/>
        <w:t>Предметом брокерского договора является</w:t>
      </w:r>
      <w:r w:rsidRPr="000C7544">
        <w:t xml:space="preserve"> деятельность ООО «ИК «ФИНПРОИНВЕСТ» (далее – Брокер) по исполнению поручений Клиента на совершение за счёт Клиента гражданско-правовых сделок (купли-продажи) с ценными бумагами и/или валютой на организованных и неорганизованных торгах в соответствии с информацией, указанной Клиентом в пункте 2.2 Заявления о присоединении к Регламенту оказания брокерских услуг на рынке ценных бумаг.</w:t>
      </w:r>
      <w:r w:rsidR="00763C9A">
        <w:t xml:space="preserve"> Ознакомится с условиями договора Вы можете на сайте </w:t>
      </w:r>
      <w:r w:rsidR="00763C9A">
        <w:rPr>
          <w:lang w:val="en-US"/>
        </w:rPr>
        <w:t>www</w:t>
      </w:r>
      <w:r w:rsidR="00763C9A" w:rsidRPr="001E55BF">
        <w:t>.</w:t>
      </w:r>
      <w:r w:rsidR="00763C9A">
        <w:rPr>
          <w:lang w:val="en-US"/>
        </w:rPr>
        <w:t>finproinvest</w:t>
      </w:r>
      <w:r w:rsidR="00763C9A" w:rsidRPr="001E55BF">
        <w:t>.</w:t>
      </w:r>
      <w:r w:rsidR="00763C9A">
        <w:rPr>
          <w:lang w:val="en-US"/>
        </w:rPr>
        <w:t>ru</w:t>
      </w:r>
      <w:r w:rsidR="00763C9A">
        <w:t>.</w:t>
      </w:r>
    </w:p>
    <w:p w:rsidR="000D3AC5" w:rsidRDefault="008072B9" w:rsidP="00920B63">
      <w:pPr>
        <w:adjustRightInd w:val="0"/>
        <w:ind w:firstLine="709"/>
        <w:jc w:val="both"/>
      </w:pPr>
      <w:r w:rsidRPr="0060019F">
        <w:rPr>
          <w:rFonts w:hint="eastAsia"/>
        </w:rPr>
        <w:t>Заключение</w:t>
      </w:r>
      <w:r w:rsidRPr="0060019F">
        <w:t xml:space="preserve"> </w:t>
      </w:r>
      <w:r w:rsidRPr="0060019F">
        <w:rPr>
          <w:rFonts w:hint="eastAsia"/>
        </w:rPr>
        <w:t>Договора</w:t>
      </w:r>
      <w:r w:rsidRPr="0060019F">
        <w:t xml:space="preserve"> о </w:t>
      </w:r>
      <w:r w:rsidRPr="0060019F">
        <w:rPr>
          <w:rFonts w:hint="eastAsia"/>
        </w:rPr>
        <w:t>брокерско</w:t>
      </w:r>
      <w:r w:rsidRPr="0060019F">
        <w:t xml:space="preserve">м </w:t>
      </w:r>
      <w:r w:rsidRPr="0060019F">
        <w:rPr>
          <w:rFonts w:hint="eastAsia"/>
        </w:rPr>
        <w:t>обслуживани</w:t>
      </w:r>
      <w:r w:rsidRPr="0060019F">
        <w:t xml:space="preserve">и </w:t>
      </w:r>
      <w:r w:rsidRPr="0060019F">
        <w:rPr>
          <w:rFonts w:hint="eastAsia"/>
        </w:rPr>
        <w:t>производится</w:t>
      </w:r>
      <w:r w:rsidRPr="0060019F">
        <w:t xml:space="preserve"> </w:t>
      </w:r>
      <w:r w:rsidRPr="0060019F">
        <w:rPr>
          <w:rFonts w:hint="eastAsia"/>
        </w:rPr>
        <w:t>путем</w:t>
      </w:r>
      <w:r w:rsidRPr="0060019F">
        <w:t xml:space="preserve"> </w:t>
      </w:r>
      <w:r w:rsidRPr="0060019F">
        <w:rPr>
          <w:rFonts w:hint="eastAsia"/>
        </w:rPr>
        <w:t>совершения</w:t>
      </w:r>
      <w:r w:rsidRPr="0060019F">
        <w:t xml:space="preserve"> </w:t>
      </w:r>
      <w:r w:rsidRPr="0060019F">
        <w:rPr>
          <w:rFonts w:hint="eastAsia"/>
        </w:rPr>
        <w:t>письменного</w:t>
      </w:r>
      <w:r w:rsidRPr="0060019F">
        <w:t xml:space="preserve"> </w:t>
      </w:r>
      <w:r w:rsidRPr="0060019F">
        <w:rPr>
          <w:rFonts w:hint="eastAsia"/>
        </w:rPr>
        <w:t>акцепта</w:t>
      </w:r>
      <w:r w:rsidRPr="0060019F">
        <w:t xml:space="preserve"> </w:t>
      </w:r>
      <w:r w:rsidRPr="0060019F">
        <w:rPr>
          <w:rFonts w:hint="eastAsia"/>
        </w:rPr>
        <w:t>условий</w:t>
      </w:r>
      <w:r w:rsidRPr="0060019F">
        <w:t xml:space="preserve"> </w:t>
      </w:r>
      <w:r w:rsidRPr="00BB746A">
        <w:t>Регламент</w:t>
      </w:r>
      <w:r>
        <w:t>а</w:t>
      </w:r>
      <w:r w:rsidRPr="00BB746A">
        <w:t xml:space="preserve"> оказания брокерских услуг на рынке ценных бумаг</w:t>
      </w:r>
      <w:r w:rsidRPr="0060019F">
        <w:t xml:space="preserve"> лично </w:t>
      </w:r>
      <w:r w:rsidRPr="0060019F">
        <w:rPr>
          <w:rFonts w:hint="eastAsia"/>
        </w:rPr>
        <w:t>Клиентом</w:t>
      </w:r>
      <w:r w:rsidRPr="0060019F">
        <w:t xml:space="preserve"> </w:t>
      </w:r>
      <w:r w:rsidRPr="0060019F">
        <w:rPr>
          <w:rFonts w:hint="eastAsia"/>
        </w:rPr>
        <w:t>посредством</w:t>
      </w:r>
      <w:r w:rsidRPr="0060019F">
        <w:t xml:space="preserve"> </w:t>
      </w:r>
      <w:r w:rsidRPr="0060019F">
        <w:rPr>
          <w:rFonts w:hint="eastAsia"/>
        </w:rPr>
        <w:t>направления</w:t>
      </w:r>
      <w:r w:rsidRPr="0060019F">
        <w:t xml:space="preserve"> </w:t>
      </w:r>
      <w:r w:rsidRPr="0060019F">
        <w:rPr>
          <w:rFonts w:hint="eastAsia"/>
        </w:rPr>
        <w:t>Брокеру</w:t>
      </w:r>
      <w:r w:rsidRPr="0060019F">
        <w:t xml:space="preserve"> </w:t>
      </w:r>
      <w:r w:rsidRPr="0060019F">
        <w:rPr>
          <w:rFonts w:hint="eastAsia"/>
        </w:rPr>
        <w:t>специального</w:t>
      </w:r>
      <w:r w:rsidRPr="0060019F">
        <w:t xml:space="preserve"> </w:t>
      </w:r>
      <w:r w:rsidRPr="0060019F">
        <w:rPr>
          <w:rFonts w:hint="eastAsia"/>
        </w:rPr>
        <w:t>«Заявления</w:t>
      </w:r>
      <w:r w:rsidRPr="0060019F">
        <w:t xml:space="preserve"> </w:t>
      </w:r>
      <w:r w:rsidRPr="0060019F">
        <w:rPr>
          <w:rFonts w:hint="eastAsia"/>
        </w:rPr>
        <w:t>о</w:t>
      </w:r>
      <w:r w:rsidRPr="0060019F">
        <w:t xml:space="preserve"> </w:t>
      </w:r>
      <w:r w:rsidRPr="0060019F">
        <w:rPr>
          <w:rFonts w:hint="eastAsia"/>
        </w:rPr>
        <w:t>присоединении»</w:t>
      </w:r>
      <w:r w:rsidRPr="0060019F">
        <w:t xml:space="preserve">. </w:t>
      </w:r>
      <w:r>
        <w:rPr>
          <w:rFonts w:hint="eastAsia"/>
        </w:rPr>
        <w:t>П</w:t>
      </w:r>
      <w:r w:rsidR="002A1BC5">
        <w:rPr>
          <w:rFonts w:hint="eastAsia"/>
        </w:rPr>
        <w:t>р</w:t>
      </w:r>
      <w:r w:rsidR="000D3AC5" w:rsidRPr="0060019F">
        <w:rPr>
          <w:rFonts w:hint="eastAsia"/>
        </w:rPr>
        <w:t>исоединение</w:t>
      </w:r>
      <w:r w:rsidR="000D3AC5" w:rsidRPr="0060019F">
        <w:t xml:space="preserve"> </w:t>
      </w:r>
      <w:r w:rsidR="000D3AC5" w:rsidRPr="0060019F">
        <w:rPr>
          <w:rFonts w:hint="eastAsia"/>
        </w:rPr>
        <w:t>к</w:t>
      </w:r>
      <w:r w:rsidR="000D3AC5" w:rsidRPr="0060019F">
        <w:t xml:space="preserve"> </w:t>
      </w:r>
      <w:r w:rsidR="000D3AC5" w:rsidRPr="0060019F">
        <w:rPr>
          <w:rFonts w:hint="eastAsia"/>
        </w:rPr>
        <w:t>Регламенту</w:t>
      </w:r>
      <w:r w:rsidR="000D3AC5" w:rsidRPr="0060019F">
        <w:t xml:space="preserve"> </w:t>
      </w:r>
      <w:r w:rsidR="000D3AC5" w:rsidRPr="0060019F">
        <w:rPr>
          <w:rFonts w:hint="eastAsia"/>
        </w:rPr>
        <w:t>производится</w:t>
      </w:r>
      <w:r w:rsidR="000D3AC5" w:rsidRPr="0060019F">
        <w:t xml:space="preserve"> </w:t>
      </w:r>
      <w:r w:rsidR="000D3AC5" w:rsidRPr="0060019F">
        <w:rPr>
          <w:rFonts w:hint="eastAsia"/>
        </w:rPr>
        <w:t>на</w:t>
      </w:r>
      <w:r w:rsidR="000D3AC5" w:rsidRPr="0060019F">
        <w:t xml:space="preserve"> </w:t>
      </w:r>
      <w:r w:rsidR="000D3AC5" w:rsidRPr="0060019F">
        <w:rPr>
          <w:rFonts w:hint="eastAsia"/>
        </w:rPr>
        <w:t>условиях</w:t>
      </w:r>
      <w:r w:rsidR="000D3AC5" w:rsidRPr="0060019F">
        <w:t xml:space="preserve">, </w:t>
      </w:r>
      <w:r w:rsidR="000D3AC5" w:rsidRPr="0060019F">
        <w:rPr>
          <w:rFonts w:hint="eastAsia"/>
        </w:rPr>
        <w:t>предусмотренных</w:t>
      </w:r>
      <w:r w:rsidR="000D3AC5" w:rsidRPr="0060019F">
        <w:t xml:space="preserve"> </w:t>
      </w:r>
      <w:r w:rsidR="000D3AC5" w:rsidRPr="0060019F">
        <w:rPr>
          <w:rFonts w:hint="eastAsia"/>
        </w:rPr>
        <w:t>для</w:t>
      </w:r>
      <w:r w:rsidR="000D3AC5" w:rsidRPr="0060019F">
        <w:t xml:space="preserve"> </w:t>
      </w:r>
      <w:r w:rsidR="000D3AC5" w:rsidRPr="0060019F">
        <w:rPr>
          <w:rFonts w:hint="eastAsia"/>
        </w:rPr>
        <w:t>договора</w:t>
      </w:r>
      <w:r w:rsidR="000D3AC5" w:rsidRPr="0060019F">
        <w:t xml:space="preserve"> </w:t>
      </w:r>
      <w:r w:rsidR="000D3AC5" w:rsidRPr="0060019F">
        <w:rPr>
          <w:rFonts w:hint="eastAsia"/>
        </w:rPr>
        <w:t>присоединения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соответствии</w:t>
      </w:r>
      <w:r w:rsidR="000D3AC5" w:rsidRPr="0060019F">
        <w:t xml:space="preserve"> </w:t>
      </w:r>
      <w:r w:rsidR="000D3AC5" w:rsidRPr="0060019F">
        <w:rPr>
          <w:rFonts w:hint="eastAsia"/>
        </w:rPr>
        <w:t>со</w:t>
      </w:r>
      <w:r w:rsidR="000D3AC5" w:rsidRPr="0060019F">
        <w:t xml:space="preserve"> </w:t>
      </w:r>
      <w:r w:rsidR="000D3AC5" w:rsidRPr="0060019F">
        <w:rPr>
          <w:rFonts w:hint="eastAsia"/>
        </w:rPr>
        <w:t>ст</w:t>
      </w:r>
      <w:r w:rsidR="000D3AC5" w:rsidRPr="0060019F">
        <w:t xml:space="preserve">. 428 </w:t>
      </w:r>
      <w:r w:rsidR="000D3AC5" w:rsidRPr="0060019F">
        <w:rPr>
          <w:rFonts w:hint="eastAsia"/>
        </w:rPr>
        <w:t>Гражданского</w:t>
      </w:r>
      <w:r w:rsidR="000D3AC5" w:rsidRPr="0060019F">
        <w:t xml:space="preserve"> </w:t>
      </w:r>
      <w:r w:rsidR="000D3AC5" w:rsidRPr="0060019F">
        <w:rPr>
          <w:rFonts w:hint="eastAsia"/>
        </w:rPr>
        <w:t>Кодекса</w:t>
      </w:r>
      <w:r w:rsidR="000D3AC5" w:rsidRPr="0060019F">
        <w:t xml:space="preserve"> </w:t>
      </w:r>
      <w:r w:rsidR="000D3AC5" w:rsidRPr="0060019F">
        <w:rPr>
          <w:rFonts w:hint="eastAsia"/>
        </w:rPr>
        <w:t>Российской</w:t>
      </w:r>
      <w:r w:rsidR="000D3AC5" w:rsidRPr="0060019F">
        <w:t xml:space="preserve"> </w:t>
      </w:r>
      <w:r w:rsidR="000D3AC5" w:rsidRPr="0060019F">
        <w:rPr>
          <w:rFonts w:hint="eastAsia"/>
        </w:rPr>
        <w:t>Федерации</w:t>
      </w:r>
      <w:r w:rsidR="000D3AC5" w:rsidRPr="0060019F">
        <w:t xml:space="preserve">, </w:t>
      </w:r>
      <w:r w:rsidR="000D3AC5" w:rsidRPr="0060019F">
        <w:rPr>
          <w:rFonts w:hint="eastAsia"/>
        </w:rPr>
        <w:t>т</w:t>
      </w:r>
      <w:r w:rsidR="000D3AC5" w:rsidRPr="0060019F">
        <w:t>.</w:t>
      </w:r>
      <w:r w:rsidR="000D3AC5" w:rsidRPr="0060019F">
        <w:rPr>
          <w:rFonts w:hint="eastAsia"/>
        </w:rPr>
        <w:t>е</w:t>
      </w:r>
      <w:r w:rsidR="000D3AC5" w:rsidRPr="0060019F">
        <w:t xml:space="preserve">. </w:t>
      </w:r>
      <w:r w:rsidR="000D3AC5" w:rsidRPr="0060019F">
        <w:rPr>
          <w:rFonts w:hint="eastAsia"/>
        </w:rPr>
        <w:t>путем</w:t>
      </w:r>
      <w:r w:rsidR="000D3AC5" w:rsidRPr="0060019F">
        <w:t xml:space="preserve"> </w:t>
      </w:r>
      <w:r w:rsidR="000D3AC5" w:rsidRPr="0060019F">
        <w:rPr>
          <w:rFonts w:hint="eastAsia"/>
        </w:rPr>
        <w:t>присоединения</w:t>
      </w:r>
      <w:r w:rsidR="000D3AC5" w:rsidRPr="0060019F">
        <w:t xml:space="preserve"> </w:t>
      </w:r>
      <w:r w:rsidR="000D3AC5" w:rsidRPr="0060019F">
        <w:rPr>
          <w:rFonts w:hint="eastAsia"/>
        </w:rPr>
        <w:t>к</w:t>
      </w:r>
      <w:r w:rsidR="000D3AC5" w:rsidRPr="0060019F">
        <w:t xml:space="preserve"> </w:t>
      </w:r>
      <w:r w:rsidR="000D3AC5" w:rsidRPr="0060019F">
        <w:rPr>
          <w:rFonts w:hint="eastAsia"/>
        </w:rPr>
        <w:t>договору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целом</w:t>
      </w:r>
      <w:r w:rsidR="000D3AC5" w:rsidRPr="0060019F">
        <w:t xml:space="preserve">, </w:t>
      </w:r>
      <w:r w:rsidR="000D3AC5" w:rsidRPr="0060019F">
        <w:rPr>
          <w:rFonts w:hint="eastAsia"/>
        </w:rPr>
        <w:t>за</w:t>
      </w:r>
      <w:r w:rsidR="000D3AC5" w:rsidRPr="0060019F">
        <w:t xml:space="preserve"> </w:t>
      </w:r>
      <w:r w:rsidR="000D3AC5" w:rsidRPr="0060019F">
        <w:rPr>
          <w:rFonts w:hint="eastAsia"/>
        </w:rPr>
        <w:t>исключением</w:t>
      </w:r>
      <w:r w:rsidR="000D3AC5" w:rsidRPr="0060019F">
        <w:t xml:space="preserve"> </w:t>
      </w:r>
      <w:r w:rsidR="000D3AC5" w:rsidRPr="0060019F">
        <w:rPr>
          <w:rFonts w:hint="eastAsia"/>
        </w:rPr>
        <w:t>тех</w:t>
      </w:r>
      <w:r w:rsidR="000D3AC5" w:rsidRPr="0060019F">
        <w:t xml:space="preserve"> </w:t>
      </w:r>
      <w:r w:rsidR="000D3AC5" w:rsidRPr="0060019F">
        <w:rPr>
          <w:rFonts w:hint="eastAsia"/>
        </w:rPr>
        <w:t>изъятий</w:t>
      </w:r>
      <w:r w:rsidR="000D3AC5" w:rsidRPr="0060019F">
        <w:t xml:space="preserve">, </w:t>
      </w:r>
      <w:r w:rsidR="000D3AC5" w:rsidRPr="0060019F">
        <w:rPr>
          <w:rFonts w:hint="eastAsia"/>
        </w:rPr>
        <w:t>условий</w:t>
      </w:r>
      <w:r w:rsidR="000D3AC5" w:rsidRPr="0060019F">
        <w:t xml:space="preserve"> </w:t>
      </w:r>
      <w:r w:rsidR="000D3AC5" w:rsidRPr="0060019F">
        <w:rPr>
          <w:rFonts w:hint="eastAsia"/>
        </w:rPr>
        <w:t>или</w:t>
      </w:r>
      <w:r w:rsidR="000D3AC5" w:rsidRPr="0060019F">
        <w:t xml:space="preserve"> </w:t>
      </w:r>
      <w:r w:rsidR="000D3AC5" w:rsidRPr="0060019F">
        <w:rPr>
          <w:rFonts w:hint="eastAsia"/>
        </w:rPr>
        <w:t>оговорок</w:t>
      </w:r>
      <w:r w:rsidR="000D3AC5" w:rsidRPr="0060019F">
        <w:t xml:space="preserve">, </w:t>
      </w:r>
      <w:r w:rsidR="000D3AC5" w:rsidRPr="0060019F">
        <w:rPr>
          <w:rFonts w:hint="eastAsia"/>
        </w:rPr>
        <w:t>которые</w:t>
      </w:r>
      <w:r w:rsidR="000D3AC5" w:rsidRPr="0060019F">
        <w:t xml:space="preserve"> </w:t>
      </w:r>
      <w:r w:rsidR="000D3AC5" w:rsidRPr="0060019F">
        <w:rPr>
          <w:rFonts w:hint="eastAsia"/>
        </w:rPr>
        <w:t>изложены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тексте</w:t>
      </w:r>
      <w:r w:rsidR="000D3AC5" w:rsidRPr="0060019F">
        <w:t xml:space="preserve"> </w:t>
      </w:r>
      <w:r w:rsidR="000D3AC5" w:rsidRPr="0060019F">
        <w:rPr>
          <w:rFonts w:hint="eastAsia"/>
        </w:rPr>
        <w:t>самого</w:t>
      </w:r>
      <w:r w:rsidR="000D3AC5" w:rsidRPr="0060019F">
        <w:t xml:space="preserve"> </w:t>
      </w:r>
      <w:r w:rsidR="000D3AC5" w:rsidRPr="0060019F">
        <w:rPr>
          <w:rFonts w:hint="eastAsia"/>
        </w:rPr>
        <w:t>Регламента</w:t>
      </w:r>
      <w:r w:rsidR="000D3AC5" w:rsidRPr="0060019F">
        <w:t>.</w:t>
      </w:r>
    </w:p>
    <w:p w:rsidR="000D3AC5" w:rsidRDefault="000D3AC5" w:rsidP="00920B63">
      <w:pPr>
        <w:adjustRightInd w:val="0"/>
        <w:ind w:firstLine="709"/>
        <w:jc w:val="both"/>
      </w:pPr>
      <w:r>
        <w:t>Брокер может в одностороннем порядке вносить изменения в</w:t>
      </w:r>
      <w:r w:rsidRPr="00F00462">
        <w:t xml:space="preserve"> </w:t>
      </w:r>
      <w:r>
        <w:t xml:space="preserve">договор о брокерском обслуживании, в том числе в тарифы. Такие изменения публикуются на сайте: </w:t>
      </w:r>
      <w:r w:rsidRPr="000D3AC5">
        <w:t>https://www.finproinvest.ru/raskrytie-informatsii/reglament-okazaniya-brokerskih-uslug-s-prilozheniyami/</w:t>
      </w:r>
      <w:r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457A50" w:rsidRDefault="00457A50" w:rsidP="00920B63">
      <w:pPr>
        <w:adjustRightInd w:val="0"/>
        <w:ind w:firstLine="709"/>
        <w:jc w:val="both"/>
      </w:pPr>
      <w:r w:rsidRPr="00950511">
        <w:t xml:space="preserve">В соответствии с договором о брокерском обслуживании </w:t>
      </w:r>
      <w:r>
        <w:t>Клиенту</w:t>
      </w:r>
      <w:r w:rsidRPr="00950511">
        <w:t xml:space="preserve"> доступны операции</w:t>
      </w:r>
      <w:r w:rsidR="00B86C52">
        <w:t xml:space="preserve"> купли-продажи</w:t>
      </w:r>
      <w:r w:rsidRPr="00950511">
        <w:t xml:space="preserve"> со следующими финансовыми инструментами</w:t>
      </w:r>
      <w:r>
        <w:t>:</w:t>
      </w:r>
    </w:p>
    <w:p w:rsidR="00457A50" w:rsidRDefault="00457A50" w:rsidP="00920B63">
      <w:pPr>
        <w:adjustRightInd w:val="0"/>
        <w:ind w:firstLine="709"/>
        <w:jc w:val="both"/>
      </w:pPr>
      <w:r>
        <w:t xml:space="preserve">- акции, облигации, депозитарные расписки, паи инвестиционных фондов, обращающиеся на организованных торгах фондовой секции </w:t>
      </w:r>
      <w:r w:rsidRPr="0060019F">
        <w:t>ПАО Московская Биржа</w:t>
      </w:r>
      <w:r>
        <w:t>;</w:t>
      </w:r>
    </w:p>
    <w:p w:rsidR="00457A50" w:rsidRDefault="00457A50" w:rsidP="00920B63">
      <w:pPr>
        <w:adjustRightInd w:val="0"/>
        <w:ind w:firstLine="709"/>
        <w:jc w:val="both"/>
      </w:pPr>
      <w:r>
        <w:t>- акции, облигации, депозитарные расписки, паи инвестиционных фондов, обращающиеся на внебиржевом рынке;</w:t>
      </w:r>
    </w:p>
    <w:p w:rsidR="00457A50" w:rsidRDefault="00457A50" w:rsidP="00457A50">
      <w:pPr>
        <w:adjustRightInd w:val="0"/>
        <w:ind w:firstLine="709"/>
        <w:jc w:val="both"/>
      </w:pPr>
      <w:r>
        <w:t xml:space="preserve">- иностранная валюта, обращающаяся на организованных торгах валютной секции </w:t>
      </w:r>
      <w:r w:rsidRPr="00BB746A">
        <w:t>ПАО Московская Биржа</w:t>
      </w:r>
      <w:r>
        <w:t>.</w:t>
      </w:r>
    </w:p>
    <w:p w:rsidR="000A1A94" w:rsidRPr="0060019F" w:rsidRDefault="000A1A94" w:rsidP="00457A50">
      <w:pPr>
        <w:adjustRightInd w:val="0"/>
        <w:ind w:firstLine="709"/>
        <w:jc w:val="both"/>
        <w:rPr>
          <w:sz w:val="16"/>
          <w:szCs w:val="16"/>
        </w:rPr>
      </w:pPr>
    </w:p>
    <w:p w:rsidR="000A1A94" w:rsidRDefault="000A1A94" w:rsidP="00457A50">
      <w:pPr>
        <w:adjustRightInd w:val="0"/>
        <w:ind w:firstLine="709"/>
        <w:jc w:val="both"/>
      </w:pPr>
      <w:r>
        <w:t xml:space="preserve">В отношении сделок (договоров) с ценными бумагами </w:t>
      </w:r>
      <w:r w:rsidR="00763C9A">
        <w:t>перечисленными</w:t>
      </w:r>
      <w:r>
        <w:t xml:space="preserve"> в </w:t>
      </w:r>
      <w:hyperlink r:id="rId9" w:history="1">
        <w:r w:rsidRPr="0060019F">
          <w:t>Указани</w:t>
        </w:r>
        <w:r w:rsidR="00763C9A">
          <w:t>и</w:t>
        </w:r>
        <w:r w:rsidRPr="0060019F">
          <w:t xml:space="preserve"> Банка России от 09.01.2023 N 6347-У «О ценных бумагах и производных финансовых инструментах, предназначенных для квалифицированных инвесторов</w:t>
        </w:r>
      </w:hyperlink>
      <w:r w:rsidRPr="0060019F">
        <w:t>»</w:t>
      </w:r>
      <w:r>
        <w:t xml:space="preserve"> поручения Клиентов исполняются брокером только при наличии у инвестора статуса квалифицированного инвестора.</w:t>
      </w:r>
      <w:r w:rsidR="00930F51">
        <w:t xml:space="preserve"> Обращаем Ваше внимание, что указанные операции несут повышенный риск.</w:t>
      </w:r>
      <w:r>
        <w:t xml:space="preserve"> </w:t>
      </w:r>
      <w:r w:rsidRPr="0060019F">
        <w:rPr>
          <w:rFonts w:hint="eastAsia"/>
        </w:rPr>
        <w:t>Клиент</w:t>
      </w:r>
      <w:r w:rsidRPr="0060019F">
        <w:t xml:space="preserve"> </w:t>
      </w:r>
      <w:r w:rsidRPr="0060019F">
        <w:rPr>
          <w:rFonts w:hint="eastAsia"/>
        </w:rPr>
        <w:t>может</w:t>
      </w:r>
      <w:r w:rsidRPr="0060019F">
        <w:t xml:space="preserve"> </w:t>
      </w:r>
      <w:r w:rsidRPr="0060019F">
        <w:rPr>
          <w:rFonts w:hint="eastAsia"/>
        </w:rPr>
        <w:t>быть</w:t>
      </w:r>
      <w:r w:rsidRPr="0060019F">
        <w:t xml:space="preserve"> </w:t>
      </w:r>
      <w:r w:rsidRPr="0060019F">
        <w:rPr>
          <w:rFonts w:hint="eastAsia"/>
        </w:rPr>
        <w:t>признан</w:t>
      </w:r>
      <w:r w:rsidRPr="0060019F">
        <w:t xml:space="preserve"> </w:t>
      </w:r>
      <w:r w:rsidRPr="0060019F">
        <w:rPr>
          <w:rFonts w:hint="eastAsia"/>
        </w:rPr>
        <w:t>Брокером</w:t>
      </w:r>
      <w:r w:rsidRPr="0060019F">
        <w:t xml:space="preserve"> </w:t>
      </w:r>
      <w:r w:rsidRPr="0060019F">
        <w:rPr>
          <w:rFonts w:hint="eastAsia"/>
        </w:rPr>
        <w:t>квалифицированным</w:t>
      </w:r>
      <w:r w:rsidRPr="0060019F">
        <w:t xml:space="preserve"> </w:t>
      </w:r>
      <w:r w:rsidRPr="0060019F">
        <w:rPr>
          <w:rFonts w:hint="eastAsia"/>
        </w:rPr>
        <w:t>инвестором</w:t>
      </w:r>
      <w:r w:rsidRPr="0060019F">
        <w:t xml:space="preserve"> </w:t>
      </w:r>
      <w:r w:rsidRPr="0060019F">
        <w:rPr>
          <w:rFonts w:hint="eastAsia"/>
        </w:rPr>
        <w:t>в</w:t>
      </w:r>
      <w:r w:rsidRPr="0060019F">
        <w:t xml:space="preserve"> </w:t>
      </w:r>
      <w:r w:rsidRPr="0060019F">
        <w:rPr>
          <w:rFonts w:hint="eastAsia"/>
        </w:rPr>
        <w:t>порядке</w:t>
      </w:r>
      <w:r w:rsidRPr="0060019F">
        <w:t xml:space="preserve"> </w:t>
      </w:r>
      <w:r w:rsidRPr="0060019F">
        <w:rPr>
          <w:rFonts w:hint="eastAsia"/>
        </w:rPr>
        <w:t>и</w:t>
      </w:r>
      <w:r w:rsidRPr="0060019F">
        <w:t xml:space="preserve"> </w:t>
      </w:r>
      <w:r w:rsidRPr="0060019F">
        <w:rPr>
          <w:rFonts w:hint="eastAsia"/>
        </w:rPr>
        <w:t>на</w:t>
      </w:r>
      <w:r w:rsidRPr="0060019F">
        <w:t xml:space="preserve"> </w:t>
      </w:r>
      <w:r w:rsidRPr="0060019F">
        <w:rPr>
          <w:rFonts w:hint="eastAsia"/>
        </w:rPr>
        <w:t>условиях</w:t>
      </w:r>
      <w:r w:rsidRPr="0060019F">
        <w:t xml:space="preserve">, </w:t>
      </w:r>
      <w:r w:rsidRPr="0060019F">
        <w:rPr>
          <w:rFonts w:hint="eastAsia"/>
        </w:rPr>
        <w:t>установленных</w:t>
      </w:r>
      <w:r w:rsidRPr="0060019F">
        <w:t xml:space="preserve"> </w:t>
      </w:r>
      <w:r w:rsidRPr="0060019F">
        <w:rPr>
          <w:rFonts w:hint="eastAsia"/>
        </w:rPr>
        <w:t>нормативными</w:t>
      </w:r>
      <w:r w:rsidRPr="0060019F">
        <w:t xml:space="preserve"> </w:t>
      </w:r>
      <w:r w:rsidRPr="0060019F">
        <w:rPr>
          <w:rFonts w:hint="eastAsia"/>
        </w:rPr>
        <w:t>актами</w:t>
      </w:r>
      <w:r w:rsidRPr="0060019F">
        <w:t xml:space="preserve"> </w:t>
      </w:r>
      <w:r w:rsidRPr="0060019F">
        <w:rPr>
          <w:rFonts w:hint="eastAsia"/>
        </w:rPr>
        <w:t>в</w:t>
      </w:r>
      <w:r w:rsidRPr="0060019F">
        <w:t xml:space="preserve"> </w:t>
      </w:r>
      <w:r w:rsidRPr="0060019F">
        <w:rPr>
          <w:rFonts w:hint="eastAsia"/>
        </w:rPr>
        <w:t>сфере</w:t>
      </w:r>
      <w:r w:rsidRPr="0060019F">
        <w:t xml:space="preserve"> </w:t>
      </w:r>
      <w:r w:rsidRPr="0060019F">
        <w:rPr>
          <w:rFonts w:hint="eastAsia"/>
        </w:rPr>
        <w:t>финансовых</w:t>
      </w:r>
      <w:r w:rsidRPr="0060019F">
        <w:t xml:space="preserve"> </w:t>
      </w:r>
      <w:r w:rsidRPr="0060019F">
        <w:rPr>
          <w:rFonts w:hint="eastAsia"/>
        </w:rPr>
        <w:t>рынков</w:t>
      </w:r>
      <w:r w:rsidRPr="0060019F">
        <w:t xml:space="preserve">. </w:t>
      </w:r>
      <w:r>
        <w:t>Ознакомится с</w:t>
      </w:r>
      <w:r w:rsidRPr="0060019F">
        <w:t xml:space="preserve"> Регла</w:t>
      </w:r>
      <w:r w:rsidRPr="0060019F">
        <w:rPr>
          <w:rFonts w:hint="eastAsia"/>
        </w:rPr>
        <w:t>мент</w:t>
      </w:r>
      <w:r>
        <w:rPr>
          <w:rFonts w:hint="eastAsia"/>
        </w:rPr>
        <w:t>ом</w:t>
      </w:r>
      <w:r w:rsidRPr="0060019F">
        <w:t xml:space="preserve"> о признании лиц квалифицированными инвесторами</w:t>
      </w:r>
      <w:r>
        <w:t xml:space="preserve"> можно на сайте Брокера: </w:t>
      </w:r>
      <w:r w:rsidRPr="000A1A94">
        <w:t>https://www.finproinvest.ru/raskrytie-informatsii/reglament-priznaniya-lits-kvalifitsirovannymi-investorami/</w:t>
      </w:r>
      <w:r>
        <w:t>.</w:t>
      </w:r>
    </w:p>
    <w:p w:rsidR="00457A50" w:rsidRPr="0060019F" w:rsidRDefault="00457A50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Клиент имеет возможность открыть индивидуальный инвестиционный счёт</w:t>
      </w:r>
      <w:r w:rsidRPr="00A9146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соответствии с информацией, указанной Клиентом в пункте 2.1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 w:rsidRPr="00AE7456">
        <w:t>, в рамках которого у Клиента возникает право получить инвестиционный налоговый вычет.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В рамках заключаемого брокерского договора у Клиента есть возможность получения на возмездной основе услуг по инвестиционному консультированию (получение индивидуальных инвестиционных рекомендаций) (см. Раздел 4 Регламента).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Клиент имеет право в любой момент расторгнуть брокерский договор путем простого письменного уведомления Брокера об отказе соблюдать условия договора. Договор считается расторгнутым по истечении 30 (тридцати) дней с даты получения Брокером соответствующего уведомления.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Брокер имеет право расторгнуть брокерский договор путем направления Клиенту письменного уведомления не позднее, чем за 30 (Тридцать) календарных дней до даты его закрытия с указанием одной из причин, предусмотренных договором.</w:t>
      </w:r>
    </w:p>
    <w:p w:rsidR="00920B63" w:rsidRDefault="00920B63" w:rsidP="00920B63">
      <w:pPr>
        <w:adjustRightInd w:val="0"/>
        <w:ind w:firstLine="709"/>
        <w:jc w:val="both"/>
      </w:pPr>
      <w:r w:rsidRPr="00AE7456">
        <w:t xml:space="preserve">Договор о брокерском обслуживании будет считаться утратившим силу только после погашения Клиентом и Брокером взаимных обязательств по ранее совершенным сделкам и иным операциям, в том числе оплаты необходимых расходов и выплаты вознаграждения Брокеру в </w:t>
      </w:r>
      <w:r w:rsidRPr="00AE7456">
        <w:lastRenderedPageBreak/>
        <w:t>соответствии с тарифами и иных обязательств, предусмотренных договором (см. Раздел 37 Регламента).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Все споры и разногласия между Брокером и Клиентом по поводу предоставления Брокером услуг на рынке ценных бумаг и совершения иных действий, предусмотренных брокерским договором, решаются путем переговоров, а при не достижении согласия - в судебном порядке с соблюдением претензионного порядка разрешения споров (см. Раздел 36 Регламента).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Адреса для направления жалоб и обращений Клиента: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ООО «ИК «ФИНПРОИНВЕСТ»: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</w:t>
      </w:r>
      <w:r w:rsidR="00151164" w:rsidRPr="003954C2">
        <w:rPr>
          <w:sz w:val="22"/>
        </w:rPr>
        <w:t xml:space="preserve">Россия, </w:t>
      </w:r>
      <w:r w:rsidR="00151164" w:rsidRPr="00767B17">
        <w:rPr>
          <w:color w:val="000000"/>
        </w:rPr>
        <w:t xml:space="preserve">309511, </w:t>
      </w:r>
      <w:r w:rsidR="00151164">
        <w:rPr>
          <w:color w:val="000000"/>
        </w:rPr>
        <w:t>Белгородская область, г.о. С</w:t>
      </w:r>
      <w:r w:rsidR="00151164" w:rsidRPr="00767B17">
        <w:rPr>
          <w:color w:val="000000"/>
        </w:rPr>
        <w:t xml:space="preserve">тарооскольский, г </w:t>
      </w:r>
      <w:r w:rsidR="00151164">
        <w:rPr>
          <w:color w:val="000000"/>
        </w:rPr>
        <w:t>С</w:t>
      </w:r>
      <w:r w:rsidR="00151164" w:rsidRPr="00767B17">
        <w:rPr>
          <w:color w:val="000000"/>
        </w:rPr>
        <w:t xml:space="preserve">тарый </w:t>
      </w:r>
      <w:r w:rsidR="00151164">
        <w:rPr>
          <w:color w:val="000000"/>
        </w:rPr>
        <w:t>О</w:t>
      </w:r>
      <w:r w:rsidR="00151164" w:rsidRPr="00767B17">
        <w:rPr>
          <w:color w:val="000000"/>
        </w:rPr>
        <w:t xml:space="preserve">скол, мкр </w:t>
      </w:r>
      <w:r w:rsidR="00151164">
        <w:rPr>
          <w:color w:val="000000"/>
        </w:rPr>
        <w:t>О</w:t>
      </w:r>
      <w:r w:rsidR="00151164" w:rsidRPr="00767B17">
        <w:rPr>
          <w:color w:val="000000"/>
        </w:rPr>
        <w:t>лимпийский, д. 49</w:t>
      </w:r>
      <w:r w:rsidR="00151164">
        <w:rPr>
          <w:color w:val="000000"/>
        </w:rPr>
        <w:t>А</w:t>
      </w:r>
      <w:r w:rsidR="00151164" w:rsidRPr="00767B17">
        <w:rPr>
          <w:color w:val="000000"/>
        </w:rPr>
        <w:t>, этаж 2, офис 1</w:t>
      </w:r>
      <w:r w:rsidRPr="00AE7456">
        <w:t>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адрес электронной почты: </w:t>
      </w:r>
      <w:hyperlink r:id="rId10" w:history="1">
        <w:r w:rsidRPr="00AE7456">
          <w:rPr>
            <w:rStyle w:val="af4"/>
          </w:rPr>
          <w:t>info@finproinvest.ru</w:t>
        </w:r>
      </w:hyperlink>
      <w:r w:rsidRPr="00AE7456">
        <w:t>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личный кабинет клиента: </w:t>
      </w:r>
      <w:hyperlink r:id="rId11" w:history="1">
        <w:r w:rsidRPr="00AE7456">
          <w:rPr>
            <w:rStyle w:val="af4"/>
          </w:rPr>
          <w:t>https://lk.finproinvest.ru/users/sign_in</w:t>
        </w:r>
      </w:hyperlink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НАУФОР: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- 129090, Москва, 1-й Коптельский пер., д.18, стр.1,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телефон: 8(495)787-77-74 доб. 5116,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официальный сайт: </w:t>
      </w:r>
      <w:hyperlink r:id="rId12" w:history="1">
        <w:r w:rsidRPr="00AE7456">
          <w:rPr>
            <w:rStyle w:val="af4"/>
          </w:rPr>
          <w:t>https://naufor.ru/tree.asp?n=22773</w:t>
        </w:r>
      </w:hyperlink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БАНК РОССИИ: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почтовый адрес для письменных обращений: 107016, Москва, ул. Неглинная, д. 12,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пункт приема корреспонденции: 107031, Москва, Сандуновский пер., д. 3, стр. 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телефон: 8 800 300-30-00,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факс: +7 495 621-64-65, +7 495 621-62-88, проверка прохождения факса: +7 495 771-48-30,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интернет приёмная: https://cbr.ru/Reception/.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E57AE1" w:rsidRDefault="00920B63" w:rsidP="00920B63">
      <w:pPr>
        <w:adjustRightInd w:val="0"/>
        <w:ind w:firstLine="709"/>
        <w:jc w:val="both"/>
      </w:pPr>
      <w:r>
        <w:t>Брокер имеет право использовать активы</w:t>
      </w:r>
      <w:r w:rsidR="00930F51">
        <w:t xml:space="preserve"> (ценные бумаги и/или денежные средства)</w:t>
      </w:r>
      <w:r>
        <w:t xml:space="preserve"> Клиента в своих интересах</w:t>
      </w:r>
      <w:r w:rsidR="002E03C4">
        <w:t>, что влечёт за собой дополнительные риски для Клиента,</w:t>
      </w:r>
      <w:r>
        <w:t xml:space="preserve"> или может быль лишён такого права в соответствии с информацией, указанной Клиентом </w:t>
      </w:r>
      <w:r>
        <w:rPr>
          <w:color w:val="000000"/>
          <w:shd w:val="clear" w:color="auto" w:fill="FFFFFF"/>
        </w:rPr>
        <w:t xml:space="preserve">в пункте 2.5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>
        <w:rPr>
          <w:bCs/>
          <w:sz w:val="22"/>
          <w:szCs w:val="22"/>
        </w:rPr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321266" w:rsidRDefault="00920B63" w:rsidP="00920B63">
      <w:pPr>
        <w:adjustRightInd w:val="0"/>
        <w:ind w:firstLine="709"/>
        <w:jc w:val="both"/>
      </w:pPr>
      <w:r>
        <w:t>Подача</w:t>
      </w:r>
      <w:r w:rsidRPr="00321266">
        <w:t xml:space="preserve"> </w:t>
      </w:r>
      <w:r>
        <w:t>поручений Брокеру</w:t>
      </w:r>
      <w:r w:rsidRPr="00321266">
        <w:t xml:space="preserve"> может производиться путем предоставления </w:t>
      </w:r>
      <w:r>
        <w:t xml:space="preserve">Клиентом </w:t>
      </w:r>
      <w:r w:rsidRPr="00321266">
        <w:t>оригинальных письменных документов лично в офисе Брокера, направление</w:t>
      </w:r>
      <w:r>
        <w:t>м таких документов</w:t>
      </w:r>
      <w:r w:rsidRPr="00321266">
        <w:t xml:space="preserve"> по почте (в том числе курьерской почтой), а также направлени</w:t>
      </w:r>
      <w:r>
        <w:t>ем</w:t>
      </w:r>
      <w:r w:rsidRPr="00321266">
        <w:t xml:space="preserve"> сообщений «дистанционны</w:t>
      </w:r>
      <w:r>
        <w:t>ми</w:t>
      </w:r>
      <w:r w:rsidRPr="00321266">
        <w:t>» способ</w:t>
      </w:r>
      <w:r>
        <w:t>ами</w:t>
      </w:r>
      <w:r w:rsidRPr="00321266">
        <w:t>: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по телефонной связи</w:t>
      </w:r>
      <w:r>
        <w:t>,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по электронной почте</w:t>
      </w:r>
      <w:r>
        <w:t>,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через систему Интернет-трейдинга с использованием системы «QUIK»</w:t>
      </w:r>
      <w:r>
        <w:t>,</w:t>
      </w:r>
    </w:p>
    <w:p w:rsidR="00920B63" w:rsidRDefault="00920B63" w:rsidP="00920B63">
      <w:pPr>
        <w:adjustRightInd w:val="0"/>
        <w:ind w:firstLine="709"/>
        <w:jc w:val="both"/>
      </w:pPr>
      <w:r w:rsidRPr="00321266">
        <w:t>- путем обмена электронными документами, подписанными электронной подписью</w:t>
      </w:r>
      <w:r>
        <w:t xml:space="preserve"> с использованием</w:t>
      </w:r>
      <w:r w:rsidRPr="00321266">
        <w:t xml:space="preserve"> Личного кабинета</w:t>
      </w:r>
      <w:r>
        <w:t xml:space="preserve"> на официальном сайте Брокера,</w:t>
      </w:r>
    </w:p>
    <w:p w:rsidR="00920B63" w:rsidRDefault="00920B63" w:rsidP="00920B63">
      <w:pPr>
        <w:adjustRightInd w:val="0"/>
        <w:ind w:firstLine="709"/>
        <w:jc w:val="both"/>
        <w:rPr>
          <w:bCs/>
          <w:sz w:val="22"/>
          <w:szCs w:val="22"/>
        </w:rPr>
      </w:pPr>
      <w:r>
        <w:t>в соответствии с информацией,</w:t>
      </w:r>
      <w:r w:rsidRPr="00A9447C">
        <w:t xml:space="preserve"> </w:t>
      </w:r>
      <w:r>
        <w:t xml:space="preserve">указанной Клиентом </w:t>
      </w:r>
      <w:r>
        <w:rPr>
          <w:color w:val="000000"/>
          <w:shd w:val="clear" w:color="auto" w:fill="FFFFFF"/>
        </w:rPr>
        <w:t>в пункте 2.</w:t>
      </w:r>
      <w:r w:rsidR="002E03C4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>
        <w:rPr>
          <w:bCs/>
          <w:sz w:val="22"/>
          <w:szCs w:val="22"/>
        </w:rPr>
        <w:t>.</w:t>
      </w:r>
    </w:p>
    <w:p w:rsidR="00920B63" w:rsidRPr="00A9447C" w:rsidRDefault="00920B63" w:rsidP="00920B63">
      <w:pPr>
        <w:adjustRightInd w:val="0"/>
        <w:ind w:firstLine="709"/>
        <w:jc w:val="both"/>
      </w:pPr>
      <w:r>
        <w:t>Брокером обеспечиваются наилучшие условия по срокам приёма и исполнения поручений Клиента, разумные, исходя из способов подачи таких поручений, указанных выше. Порядок приёма и исполнения поручений Клиента предусмотрен в разделе 23 Регламента.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551D95" w:rsidRDefault="00920B63" w:rsidP="00920B63">
      <w:pPr>
        <w:adjustRightInd w:val="0"/>
        <w:ind w:firstLine="709"/>
        <w:jc w:val="both"/>
      </w:pPr>
      <w:r w:rsidRPr="00591074">
        <w:t>В соответствии с требованиями законодательства Российской Федерации ряд поручений Клиента - физического лица, не являющегося квалифицированным инвестором, на совершение сделок могут быть исполнены Брокером только при наличии положительного результата тестирования такого Клиента. Полный перечень соответствующих сделок, а также порядок прохождения Клиентом - физическим лицом, не являющимся квалифицированным инвестором, тестирования представлен а разделе 24-1 Регламента.</w:t>
      </w:r>
      <w:r w:rsidR="00930F51">
        <w:t xml:space="preserve"> Обращаем Ваше внимание, что указанные операции несут повышенный риск.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9E130B" w:rsidRDefault="000D3AC5" w:rsidP="00920B63">
      <w:pPr>
        <w:adjustRightInd w:val="0"/>
        <w:ind w:firstLine="709"/>
        <w:jc w:val="both"/>
      </w:pPr>
      <w:r>
        <w:t xml:space="preserve">За оказание услуг взимается плата. </w:t>
      </w:r>
      <w:r w:rsidR="00920B63" w:rsidRPr="002348B3">
        <w:t xml:space="preserve">Комиссионное вознаграждение Брокера рассчитывается исходя из объёма заключённых по </w:t>
      </w:r>
      <w:r w:rsidR="00920B63">
        <w:t xml:space="preserve">поручению Клиента сделок и удерживается Брокером с брокерского счёта Клиента в соответствии с условиями выбранного Клиентом в пункте 2.3 </w:t>
      </w:r>
      <w:r w:rsidR="00920B63" w:rsidRPr="00591074">
        <w:t>Заявления о присоединении к Регламенту оказания брокерских услуг на рынке ценных бумаг</w:t>
      </w:r>
      <w:r w:rsidR="00920B63">
        <w:t xml:space="preserve"> тарифного плана. Кроме того, Клиентом подлежит к оплате комиссия за ведение </w:t>
      </w:r>
      <w:r w:rsidR="00920B63">
        <w:lastRenderedPageBreak/>
        <w:t>депозитарного счёта, комиссия, взимаемая торговой системой, клиринговыми организациями и иные комиссии, зависящие от специфики проводимых по поручению Клиента операций (см. Приложение 5 к Регламенту).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При инвестировании в финансовые активы отсутствует гарантия доходности совершённых операций и Клиент может потерять все вложенные средства и остаться должным.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При недостаточности активов на счете Клиента</w:t>
      </w:r>
      <w:r>
        <w:t xml:space="preserve"> для совершения операций и сделок</w:t>
      </w:r>
      <w:r w:rsidRPr="00AE7456">
        <w:t xml:space="preserve"> Брокер не предоставляет инвестору заёмные средства</w:t>
      </w:r>
      <w:r w:rsidR="002A1BC5">
        <w:t xml:space="preserve"> (у Клиента отсутствует возможность </w:t>
      </w:r>
      <w:r w:rsidR="002A1BC5" w:rsidRPr="0060019F">
        <w:t>совершения маржинальных сделок и сделок, приводящих к непокрытой позиции</w:t>
      </w:r>
      <w:r w:rsidR="0060019F" w:rsidRPr="0060019F">
        <w:t>)</w:t>
      </w:r>
      <w:r w:rsidRPr="00AE7456"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0A038A" w:rsidRDefault="00920B63" w:rsidP="00920B63">
      <w:pPr>
        <w:adjustRightInd w:val="0"/>
        <w:ind w:firstLine="709"/>
        <w:jc w:val="both"/>
      </w:pPr>
      <w:r w:rsidRPr="000A038A">
        <w:t>Получить отчетный документ Брокера, предусмотренный пунктом 9.2 Положения Банка России от 31.01.2017 № 577-П «О правилах ведения внутреннего учета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бумагами» Клиент имеет право следующими способами: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лично в офисе Брокера;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заказным письмом по почтовому адресу, указанному в Анкете (досье) Клиента;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 xml:space="preserve">по адресу электронной почты, указанному в Анкете (досье) Клиента </w:t>
      </w:r>
      <w:r>
        <w:t>(о</w:t>
      </w:r>
      <w:r w:rsidRPr="000B5973">
        <w:t>тчет направляется в виде скан-копии</w:t>
      </w:r>
      <w:r>
        <w:t>);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в электронной форме путем их размещения в Личном кабинете при подписании Соглашения о порядке использования электронного документооборота</w:t>
      </w:r>
      <w:r>
        <w:t xml:space="preserve"> (</w:t>
      </w:r>
      <w:r w:rsidRPr="00AE7456">
        <w:t xml:space="preserve">см. Раздел </w:t>
      </w:r>
      <w:r>
        <w:t>12</w:t>
      </w:r>
      <w:r w:rsidRPr="00AE7456">
        <w:t xml:space="preserve"> Регламента</w:t>
      </w:r>
      <w:r>
        <w:t>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055913" w:rsidRDefault="00920B63" w:rsidP="00920B63">
      <w:pPr>
        <w:adjustRightInd w:val="0"/>
        <w:ind w:firstLine="709"/>
        <w:jc w:val="both"/>
      </w:pPr>
      <w:r w:rsidRPr="00055913">
        <w:t>Ответственность брокера ограничена в случаях: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неисполнени</w:t>
      </w:r>
      <w:r>
        <w:t>я</w:t>
      </w:r>
      <w:r w:rsidRPr="008308CD">
        <w:t xml:space="preserve"> либо ненадлежаще</w:t>
      </w:r>
      <w:r>
        <w:t>го</w:t>
      </w:r>
      <w:r w:rsidRPr="008308CD">
        <w:t xml:space="preserve"> исполнени</w:t>
      </w:r>
      <w:r>
        <w:t>я</w:t>
      </w:r>
      <w:r w:rsidRPr="008308CD">
        <w:t xml:space="preserve"> поручений Клиента по причине сложившейся рыночной конъюнктуры в ТС, либо вследствие технических, административных и иных действий уполномоченных участников ТС, исключающих возможность исполнения Брокером надлежащим образом поручения Клиента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неполно</w:t>
      </w:r>
      <w:r>
        <w:t>го</w:t>
      </w:r>
      <w:r w:rsidRPr="008308CD">
        <w:t xml:space="preserve"> или частичн</w:t>
      </w:r>
      <w:r>
        <w:t>ого</w:t>
      </w:r>
      <w:r w:rsidRPr="008308CD">
        <w:t xml:space="preserve"> недостоверно</w:t>
      </w:r>
      <w:r>
        <w:t>го</w:t>
      </w:r>
      <w:r w:rsidRPr="008308CD">
        <w:t xml:space="preserve"> предоставлени</w:t>
      </w:r>
      <w:r>
        <w:t>я</w:t>
      </w:r>
      <w:r w:rsidRPr="008308CD">
        <w:t xml:space="preserve"> информации о тарифах ТС, клиринговых центров и уполномоченных депозитариев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неисполнени</w:t>
      </w:r>
      <w:r>
        <w:t>я</w:t>
      </w:r>
      <w:r w:rsidRPr="008308CD">
        <w:t xml:space="preserve"> либо ненадлежаще</w:t>
      </w:r>
      <w:r>
        <w:t>го</w:t>
      </w:r>
      <w:r w:rsidRPr="008308CD">
        <w:t xml:space="preserve"> исполнени</w:t>
      </w:r>
      <w:r>
        <w:t>я</w:t>
      </w:r>
      <w:r w:rsidRPr="008308CD">
        <w:t xml:space="preserve"> поручений Клиента в случае указания в них Клиентом неверной, либо неполной информации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нарушени</w:t>
      </w:r>
      <w:r>
        <w:t>я</w:t>
      </w:r>
      <w:r w:rsidRPr="008308CD">
        <w:t xml:space="preserve"> обязательств</w:t>
      </w:r>
      <w:r>
        <w:t xml:space="preserve"> Брокера</w:t>
      </w:r>
      <w:r w:rsidRPr="008308CD">
        <w:t xml:space="preserve"> по условиям денежных расчетов</w:t>
      </w:r>
      <w:r>
        <w:t xml:space="preserve"> в</w:t>
      </w:r>
      <w:r w:rsidRPr="008308CD">
        <w:t>следстви</w:t>
      </w:r>
      <w:r>
        <w:t>е</w:t>
      </w:r>
      <w:r w:rsidRPr="008308CD">
        <w:t xml:space="preserve"> ненадлежащей работы расчетных организаций ТС, либо Банка Брокера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>- нарушения</w:t>
      </w:r>
      <w:r w:rsidRPr="008308CD">
        <w:t xml:space="preserve"> обязательств эмитент</w:t>
      </w:r>
      <w:r>
        <w:t>ами</w:t>
      </w:r>
      <w:r w:rsidRPr="008308CD">
        <w:t xml:space="preserve"> ценных бумаг, а также неисполнение третьим лицом сделки, заключенной с ним за счет Клиента, кроме случаев, когда Брокер не проявил необходимой осмотрительности в выборе данного лица</w:t>
      </w:r>
      <w:r>
        <w:t xml:space="preserve"> (</w:t>
      </w:r>
      <w:r w:rsidRPr="00AE7456">
        <w:t>см. Раздел 3</w:t>
      </w:r>
      <w:r>
        <w:t>4</w:t>
      </w:r>
      <w:r w:rsidRPr="00AE7456">
        <w:t xml:space="preserve"> Регламента</w:t>
      </w:r>
      <w:r>
        <w:t>)</w:t>
      </w:r>
      <w:r w:rsidRPr="008308CD">
        <w:t>.</w:t>
      </w:r>
    </w:p>
    <w:p w:rsidR="00920B63" w:rsidRPr="008308CD" w:rsidRDefault="00920B63" w:rsidP="00920B63">
      <w:pPr>
        <w:adjustRightInd w:val="0"/>
        <w:ind w:firstLine="709"/>
        <w:jc w:val="both"/>
      </w:pPr>
      <w:r w:rsidRPr="008308CD">
        <w:t>Брокер</w:t>
      </w:r>
      <w:r>
        <w:t xml:space="preserve"> также</w:t>
      </w:r>
      <w:r w:rsidRPr="008308CD">
        <w:t xml:space="preserve"> освобожда</w:t>
      </w:r>
      <w:r>
        <w:t>е</w:t>
      </w:r>
      <w:r w:rsidRPr="008308CD">
        <w:t xml:space="preserve">тся от ответственности за частичное или полное неисполнение обязательств, предусмотренных </w:t>
      </w:r>
      <w:r>
        <w:t>брокерским договором</w:t>
      </w:r>
      <w:r w:rsidRPr="008308CD">
        <w:t xml:space="preserve">, если оно явилось следствием обстоятельств непреодолимой силы, возникших после </w:t>
      </w:r>
      <w:r>
        <w:t>заключения такого договора</w:t>
      </w:r>
      <w:r w:rsidRPr="008308CD">
        <w:t xml:space="preserve">, в результате событий чрезвычайного характера, которые </w:t>
      </w:r>
      <w:r>
        <w:t xml:space="preserve">Брокер </w:t>
      </w:r>
      <w:r w:rsidRPr="008308CD">
        <w:t>не мог ни предвидеть, ни предотвратить разумными мерами</w:t>
      </w:r>
      <w:r>
        <w:t xml:space="preserve"> (</w:t>
      </w:r>
      <w:r w:rsidRPr="00AE7456">
        <w:t>см. Раздел 3</w:t>
      </w:r>
      <w:r>
        <w:t>5</w:t>
      </w:r>
      <w:r w:rsidRPr="00AE7456">
        <w:t xml:space="preserve"> Регламента</w:t>
      </w:r>
      <w:r>
        <w:t>)</w:t>
      </w:r>
      <w:r w:rsidRPr="008308CD"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t xml:space="preserve">В соответствии с требованиями НК РФ Брокер является налоговым агентом Клиента </w:t>
      </w:r>
      <w:r w:rsidRPr="00AE7456">
        <w:rPr>
          <w:color w:val="000000"/>
          <w:shd w:val="clear" w:color="auto" w:fill="FFFFFF"/>
        </w:rPr>
        <w:t>при получении доходов от осуществления операций с ценными бумагами и доходов, полученных в виде материальной выгоды от осуществления указанных операций. Брокер определяет налоговую базу по соответствующим доходам и производит удержание налога в случаях:</w:t>
      </w: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rPr>
          <w:color w:val="000000"/>
          <w:shd w:val="clear" w:color="auto" w:fill="FFFFFF"/>
        </w:rPr>
        <w:t>- окончание налогового периода (налоговый период с 01 января по 31 декабря):</w:t>
      </w: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rPr>
          <w:color w:val="000000"/>
          <w:shd w:val="clear" w:color="auto" w:fill="FFFFFF"/>
        </w:rPr>
        <w:t>- вывод денежных средств с брокерского счёта по поручению Клиента;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расторжение брокерско</w:t>
      </w:r>
      <w:r>
        <w:t>го</w:t>
      </w:r>
      <w:r w:rsidRPr="00AE7456">
        <w:t xml:space="preserve"> </w:t>
      </w:r>
      <w:r>
        <w:t>договора</w:t>
      </w:r>
      <w:r w:rsidRPr="00AE7456">
        <w:t>.</w:t>
      </w:r>
    </w:p>
    <w:p w:rsidR="007004DD" w:rsidRPr="0060019F" w:rsidRDefault="00920B63" w:rsidP="0060019F">
      <w:pPr>
        <w:adjustRightInd w:val="0"/>
        <w:ind w:firstLine="709"/>
        <w:jc w:val="both"/>
        <w:rPr>
          <w:b/>
          <w:i/>
          <w:iCs/>
          <w:sz w:val="16"/>
          <w:szCs w:val="16"/>
        </w:rPr>
      </w:pPr>
      <w:r w:rsidRPr="00AE7456">
        <w:rPr>
          <w:color w:val="000000"/>
          <w:shd w:val="clear" w:color="auto" w:fill="FFFFFF"/>
        </w:rPr>
        <w:t>При невозможности удержать у Клиента полностью или частично исчисленную сумму налога вследствие отсутствия или недостаточности денежных средств на счёте Клиента, Брокер, как налоговый агент</w:t>
      </w:r>
      <w:r>
        <w:rPr>
          <w:color w:val="000000"/>
          <w:shd w:val="clear" w:color="auto" w:fill="FFFFFF"/>
        </w:rPr>
        <w:t>,</w:t>
      </w:r>
      <w:r w:rsidRPr="00AE7456">
        <w:rPr>
          <w:color w:val="000000"/>
          <w:shd w:val="clear" w:color="auto" w:fill="FFFFFF"/>
        </w:rPr>
        <w:t xml:space="preserve"> в письменной форме уведомляет налоговый орган по месту своего учета о невозможности указанного удержания и сумме задолженности налогоплательщика. Уплата налога в этом случае производится налогоплательщиком</w:t>
      </w:r>
      <w:r>
        <w:rPr>
          <w:color w:val="000000"/>
          <w:shd w:val="clear" w:color="auto" w:fill="FFFFFF"/>
        </w:rPr>
        <w:t xml:space="preserve"> самостоятельно</w:t>
      </w:r>
      <w:r w:rsidRPr="00AE7456">
        <w:rPr>
          <w:color w:val="000000"/>
          <w:shd w:val="clear" w:color="auto" w:fill="FFFFFF"/>
        </w:rPr>
        <w:t xml:space="preserve"> в соответствии со </w:t>
      </w:r>
      <w:r w:rsidRPr="00AE7456">
        <w:rPr>
          <w:shd w:val="clear" w:color="auto" w:fill="FFFFFF"/>
        </w:rPr>
        <w:t>статьей 228</w:t>
      </w:r>
      <w:r w:rsidRPr="00AE7456">
        <w:t xml:space="preserve"> </w:t>
      </w:r>
      <w:r>
        <w:t>Н</w:t>
      </w:r>
      <w:r w:rsidRPr="00AE7456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 РФ</w:t>
      </w:r>
      <w:r w:rsidRPr="00AE7456">
        <w:rPr>
          <w:color w:val="000000"/>
          <w:shd w:val="clear" w:color="auto" w:fill="FFFFFF"/>
        </w:rPr>
        <w:t>.</w:t>
      </w:r>
    </w:p>
    <w:sectPr w:rsidR="007004DD" w:rsidRPr="0060019F" w:rsidSect="00694C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34" w:rsidRDefault="00906634" w:rsidP="00C150D7">
      <w:r>
        <w:separator/>
      </w:r>
    </w:p>
  </w:endnote>
  <w:endnote w:type="continuationSeparator" w:id="0">
    <w:p w:rsidR="00906634" w:rsidRDefault="00906634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63" w:rsidRDefault="00920B63">
    <w:pPr>
      <w:pStyle w:val="af0"/>
      <w:jc w:val="right"/>
      <w:rPr>
        <w:i/>
        <w:i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34" w:rsidRDefault="00906634" w:rsidP="00C150D7">
      <w:r>
        <w:separator/>
      </w:r>
    </w:p>
  </w:footnote>
  <w:footnote w:type="continuationSeparator" w:id="0">
    <w:p w:rsidR="00906634" w:rsidRDefault="00906634" w:rsidP="00C1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7"/>
    <w:rsid w:val="000055A5"/>
    <w:rsid w:val="00005E0C"/>
    <w:rsid w:val="000272F0"/>
    <w:rsid w:val="000336EB"/>
    <w:rsid w:val="000339C7"/>
    <w:rsid w:val="000405C4"/>
    <w:rsid w:val="0005739E"/>
    <w:rsid w:val="00057636"/>
    <w:rsid w:val="00080370"/>
    <w:rsid w:val="00081B69"/>
    <w:rsid w:val="000A1A94"/>
    <w:rsid w:val="000A61A5"/>
    <w:rsid w:val="000A7AC9"/>
    <w:rsid w:val="000B186F"/>
    <w:rsid w:val="000C53C1"/>
    <w:rsid w:val="000D3AC5"/>
    <w:rsid w:val="000E5CD3"/>
    <w:rsid w:val="00107738"/>
    <w:rsid w:val="00112448"/>
    <w:rsid w:val="00117F22"/>
    <w:rsid w:val="00134346"/>
    <w:rsid w:val="00151164"/>
    <w:rsid w:val="001527F0"/>
    <w:rsid w:val="00165C6C"/>
    <w:rsid w:val="00174672"/>
    <w:rsid w:val="0017559C"/>
    <w:rsid w:val="00180EA2"/>
    <w:rsid w:val="0018146C"/>
    <w:rsid w:val="00181B65"/>
    <w:rsid w:val="0018677C"/>
    <w:rsid w:val="00187799"/>
    <w:rsid w:val="00192D7F"/>
    <w:rsid w:val="00196A1A"/>
    <w:rsid w:val="001A6639"/>
    <w:rsid w:val="001B43BD"/>
    <w:rsid w:val="001B472F"/>
    <w:rsid w:val="001B6677"/>
    <w:rsid w:val="001E1A81"/>
    <w:rsid w:val="001E55BF"/>
    <w:rsid w:val="001F374B"/>
    <w:rsid w:val="002000BD"/>
    <w:rsid w:val="0020351A"/>
    <w:rsid w:val="00204FCD"/>
    <w:rsid w:val="002111E0"/>
    <w:rsid w:val="00214FD2"/>
    <w:rsid w:val="00216DC0"/>
    <w:rsid w:val="002208FC"/>
    <w:rsid w:val="00224720"/>
    <w:rsid w:val="002253B4"/>
    <w:rsid w:val="00243300"/>
    <w:rsid w:val="00243570"/>
    <w:rsid w:val="002568C6"/>
    <w:rsid w:val="00262CFA"/>
    <w:rsid w:val="00265C0E"/>
    <w:rsid w:val="0027623B"/>
    <w:rsid w:val="002832AC"/>
    <w:rsid w:val="002920E5"/>
    <w:rsid w:val="002A18AD"/>
    <w:rsid w:val="002A1BC5"/>
    <w:rsid w:val="002B09D6"/>
    <w:rsid w:val="002B3A2F"/>
    <w:rsid w:val="002B7B6C"/>
    <w:rsid w:val="002E03C4"/>
    <w:rsid w:val="002F4288"/>
    <w:rsid w:val="0030194C"/>
    <w:rsid w:val="00321C6E"/>
    <w:rsid w:val="00336A3B"/>
    <w:rsid w:val="00341E99"/>
    <w:rsid w:val="00346D6D"/>
    <w:rsid w:val="00351A48"/>
    <w:rsid w:val="00360006"/>
    <w:rsid w:val="00367F2B"/>
    <w:rsid w:val="00375E71"/>
    <w:rsid w:val="00377B1F"/>
    <w:rsid w:val="003841DC"/>
    <w:rsid w:val="003A67E6"/>
    <w:rsid w:val="003B1578"/>
    <w:rsid w:val="003C1C46"/>
    <w:rsid w:val="003D3D76"/>
    <w:rsid w:val="003D5D2A"/>
    <w:rsid w:val="003F6958"/>
    <w:rsid w:val="004068C8"/>
    <w:rsid w:val="00406E5A"/>
    <w:rsid w:val="00421C37"/>
    <w:rsid w:val="00457A50"/>
    <w:rsid w:val="004633A1"/>
    <w:rsid w:val="00463E3D"/>
    <w:rsid w:val="0047207E"/>
    <w:rsid w:val="0049458B"/>
    <w:rsid w:val="004A1BBC"/>
    <w:rsid w:val="004B65D1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4EE1"/>
    <w:rsid w:val="00557698"/>
    <w:rsid w:val="00557D8F"/>
    <w:rsid w:val="00561D34"/>
    <w:rsid w:val="00565A18"/>
    <w:rsid w:val="00573768"/>
    <w:rsid w:val="005779FE"/>
    <w:rsid w:val="005862B0"/>
    <w:rsid w:val="005907FB"/>
    <w:rsid w:val="00592A62"/>
    <w:rsid w:val="00594F70"/>
    <w:rsid w:val="005A783E"/>
    <w:rsid w:val="005C27A0"/>
    <w:rsid w:val="005D6C7E"/>
    <w:rsid w:val="005D76B0"/>
    <w:rsid w:val="005E2B87"/>
    <w:rsid w:val="005F2352"/>
    <w:rsid w:val="005F30F5"/>
    <w:rsid w:val="0060019F"/>
    <w:rsid w:val="00606C7C"/>
    <w:rsid w:val="006212E6"/>
    <w:rsid w:val="0063360C"/>
    <w:rsid w:val="006408AB"/>
    <w:rsid w:val="00646812"/>
    <w:rsid w:val="00646B78"/>
    <w:rsid w:val="00684A1E"/>
    <w:rsid w:val="006856BC"/>
    <w:rsid w:val="0069304D"/>
    <w:rsid w:val="00694CC9"/>
    <w:rsid w:val="006A2101"/>
    <w:rsid w:val="006A254E"/>
    <w:rsid w:val="006A3E8F"/>
    <w:rsid w:val="006B67E1"/>
    <w:rsid w:val="006C0A35"/>
    <w:rsid w:val="006C4983"/>
    <w:rsid w:val="006F4F1C"/>
    <w:rsid w:val="006F51AB"/>
    <w:rsid w:val="007004DD"/>
    <w:rsid w:val="00702867"/>
    <w:rsid w:val="007173E7"/>
    <w:rsid w:val="00721F71"/>
    <w:rsid w:val="0073105D"/>
    <w:rsid w:val="00733DC7"/>
    <w:rsid w:val="00741AEF"/>
    <w:rsid w:val="0075138D"/>
    <w:rsid w:val="00763C9A"/>
    <w:rsid w:val="00765F33"/>
    <w:rsid w:val="00770759"/>
    <w:rsid w:val="0077543E"/>
    <w:rsid w:val="00781BE3"/>
    <w:rsid w:val="00794B7B"/>
    <w:rsid w:val="007A2C1E"/>
    <w:rsid w:val="007A2FB2"/>
    <w:rsid w:val="007B76F4"/>
    <w:rsid w:val="007E5FF1"/>
    <w:rsid w:val="007E784F"/>
    <w:rsid w:val="007F6718"/>
    <w:rsid w:val="0080190B"/>
    <w:rsid w:val="0080237D"/>
    <w:rsid w:val="0080358C"/>
    <w:rsid w:val="008072B9"/>
    <w:rsid w:val="00837586"/>
    <w:rsid w:val="00853A02"/>
    <w:rsid w:val="00856103"/>
    <w:rsid w:val="008A5550"/>
    <w:rsid w:val="008B0DD1"/>
    <w:rsid w:val="008B462B"/>
    <w:rsid w:val="008B74CA"/>
    <w:rsid w:val="008C61C8"/>
    <w:rsid w:val="008D120B"/>
    <w:rsid w:val="008D2E6A"/>
    <w:rsid w:val="008D599E"/>
    <w:rsid w:val="00906634"/>
    <w:rsid w:val="009114D9"/>
    <w:rsid w:val="00920B63"/>
    <w:rsid w:val="00930F51"/>
    <w:rsid w:val="00932083"/>
    <w:rsid w:val="009453B3"/>
    <w:rsid w:val="009652AF"/>
    <w:rsid w:val="00967411"/>
    <w:rsid w:val="00976C54"/>
    <w:rsid w:val="00986D52"/>
    <w:rsid w:val="009A1BF2"/>
    <w:rsid w:val="009C011B"/>
    <w:rsid w:val="009C0B42"/>
    <w:rsid w:val="009C2FAB"/>
    <w:rsid w:val="009F0013"/>
    <w:rsid w:val="009F1FC2"/>
    <w:rsid w:val="009F670B"/>
    <w:rsid w:val="00A077F3"/>
    <w:rsid w:val="00A37236"/>
    <w:rsid w:val="00A41F95"/>
    <w:rsid w:val="00A464C0"/>
    <w:rsid w:val="00A51AF2"/>
    <w:rsid w:val="00A84413"/>
    <w:rsid w:val="00A94CD8"/>
    <w:rsid w:val="00AB0FD1"/>
    <w:rsid w:val="00AB3C87"/>
    <w:rsid w:val="00AB5F97"/>
    <w:rsid w:val="00AD499C"/>
    <w:rsid w:val="00AD7C7A"/>
    <w:rsid w:val="00B10446"/>
    <w:rsid w:val="00B11102"/>
    <w:rsid w:val="00B35B90"/>
    <w:rsid w:val="00B37084"/>
    <w:rsid w:val="00B440A8"/>
    <w:rsid w:val="00B443C1"/>
    <w:rsid w:val="00B47315"/>
    <w:rsid w:val="00B70E2A"/>
    <w:rsid w:val="00B86C52"/>
    <w:rsid w:val="00B934EA"/>
    <w:rsid w:val="00BB056A"/>
    <w:rsid w:val="00BB1F44"/>
    <w:rsid w:val="00BB5993"/>
    <w:rsid w:val="00BD389C"/>
    <w:rsid w:val="00BE21E1"/>
    <w:rsid w:val="00BE480D"/>
    <w:rsid w:val="00BF65B2"/>
    <w:rsid w:val="00C00CCC"/>
    <w:rsid w:val="00C12685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83CFC"/>
    <w:rsid w:val="00CC02CF"/>
    <w:rsid w:val="00CE2DAB"/>
    <w:rsid w:val="00CE4D8E"/>
    <w:rsid w:val="00CE5B62"/>
    <w:rsid w:val="00CF31E3"/>
    <w:rsid w:val="00CF72DF"/>
    <w:rsid w:val="00D0000F"/>
    <w:rsid w:val="00D029F4"/>
    <w:rsid w:val="00D230CE"/>
    <w:rsid w:val="00D30B34"/>
    <w:rsid w:val="00D31907"/>
    <w:rsid w:val="00D34D36"/>
    <w:rsid w:val="00D446F8"/>
    <w:rsid w:val="00D6066F"/>
    <w:rsid w:val="00D70B34"/>
    <w:rsid w:val="00D8455D"/>
    <w:rsid w:val="00D84670"/>
    <w:rsid w:val="00D9602E"/>
    <w:rsid w:val="00DA79F3"/>
    <w:rsid w:val="00DF497B"/>
    <w:rsid w:val="00E050FA"/>
    <w:rsid w:val="00E0691C"/>
    <w:rsid w:val="00E07FE5"/>
    <w:rsid w:val="00E1040A"/>
    <w:rsid w:val="00E17CC4"/>
    <w:rsid w:val="00E323EB"/>
    <w:rsid w:val="00E35B0A"/>
    <w:rsid w:val="00E625D9"/>
    <w:rsid w:val="00E7277E"/>
    <w:rsid w:val="00E81DE1"/>
    <w:rsid w:val="00E91D6A"/>
    <w:rsid w:val="00EA05E4"/>
    <w:rsid w:val="00EA413B"/>
    <w:rsid w:val="00ED6EEE"/>
    <w:rsid w:val="00EE49A2"/>
    <w:rsid w:val="00EE6BB0"/>
    <w:rsid w:val="00F11512"/>
    <w:rsid w:val="00F11CBF"/>
    <w:rsid w:val="00F1581C"/>
    <w:rsid w:val="00F175FB"/>
    <w:rsid w:val="00F21288"/>
    <w:rsid w:val="00F2332A"/>
    <w:rsid w:val="00F323F1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09F8"/>
    <w:rsid w:val="00F92E36"/>
    <w:rsid w:val="00F95CC1"/>
    <w:rsid w:val="00FB1C92"/>
    <w:rsid w:val="00FB5ED2"/>
    <w:rsid w:val="00FC0C70"/>
    <w:rsid w:val="00FC513F"/>
    <w:rsid w:val="00FE0B6A"/>
    <w:rsid w:val="00FF3559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F72D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72DF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character" w:styleId="af4">
    <w:name w:val="Hyperlink"/>
    <w:basedOn w:val="a0"/>
    <w:uiPriority w:val="99"/>
    <w:unhideWhenUsed/>
    <w:rsid w:val="00243570"/>
    <w:rPr>
      <w:color w:val="0000FF" w:themeColor="hyperlink"/>
      <w:u w:val="single"/>
    </w:rPr>
  </w:style>
  <w:style w:type="character" w:customStyle="1" w:styleId="af5">
    <w:name w:val="Название Знак"/>
    <w:uiPriority w:val="99"/>
    <w:locked/>
    <w:rsid w:val="00920B63"/>
    <w:rPr>
      <w:b/>
      <w:bCs/>
      <w:sz w:val="24"/>
      <w:szCs w:val="24"/>
    </w:rPr>
  </w:style>
  <w:style w:type="paragraph" w:customStyle="1" w:styleId="Default">
    <w:name w:val="Default"/>
    <w:rsid w:val="00C126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proinvest.ru/raskrytie-informatsii/" TargetMode="External"/><Relationship Id="rId12" Type="http://schemas.openxmlformats.org/officeDocument/2006/relationships/hyperlink" Target="https://naufor.ru/tree.asp?n=22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finproinvest.ru/users/sign_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inproinv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16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2019-07-15T07:17:00Z</dcterms:created>
  <dcterms:modified xsi:type="dcterms:W3CDTF">2024-04-01T14:45:00Z</dcterms:modified>
</cp:coreProperties>
</file>